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FF68A" w14:textId="3425EA65" w:rsidR="00C354DC" w:rsidRPr="00C354DC" w:rsidRDefault="00C354DC" w:rsidP="00235812">
      <w:pPr>
        <w:pStyle w:val="3GPPHeader"/>
        <w:spacing w:after="0"/>
        <w:rPr>
          <w:bCs/>
          <w:sz w:val="22"/>
        </w:rPr>
      </w:pPr>
      <w:r w:rsidRPr="00C354DC">
        <w:rPr>
          <w:bCs/>
          <w:sz w:val="22"/>
        </w:rPr>
        <w:t>3</w:t>
      </w:r>
      <w:r>
        <w:rPr>
          <w:bCs/>
          <w:sz w:val="22"/>
        </w:rPr>
        <w:t xml:space="preserve">GPP TSG RAN WG1 Meeting 90bis </w:t>
      </w:r>
      <w:r>
        <w:rPr>
          <w:bCs/>
          <w:sz w:val="22"/>
        </w:rPr>
        <w:tab/>
      </w:r>
      <w:r w:rsidR="00B7229B">
        <w:rPr>
          <w:bCs/>
          <w:sz w:val="22"/>
        </w:rPr>
        <w:t>R1-1718682</w:t>
      </w:r>
    </w:p>
    <w:p w14:paraId="0CFB86FD" w14:textId="77777777" w:rsidR="00C354DC" w:rsidRDefault="00C354DC" w:rsidP="00235812">
      <w:pPr>
        <w:pStyle w:val="3GPPHeader"/>
        <w:spacing w:after="0"/>
        <w:rPr>
          <w:bCs/>
          <w:sz w:val="22"/>
        </w:rPr>
      </w:pPr>
      <w:r w:rsidRPr="00C354DC">
        <w:rPr>
          <w:bCs/>
          <w:sz w:val="22"/>
        </w:rPr>
        <w:t>Prague, CZ, 9th – 13th, October 2017</w:t>
      </w:r>
    </w:p>
    <w:p w14:paraId="25235F00" w14:textId="77777777" w:rsidR="00235812" w:rsidRDefault="00235812" w:rsidP="00C354DC">
      <w:pPr>
        <w:pStyle w:val="3GPPHeader"/>
        <w:rPr>
          <w:sz w:val="22"/>
          <w:szCs w:val="22"/>
          <w:lang w:val="en-US"/>
        </w:rPr>
      </w:pPr>
    </w:p>
    <w:p w14:paraId="606D9DC9" w14:textId="6A40095A"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C354DC">
        <w:rPr>
          <w:sz w:val="22"/>
          <w:szCs w:val="22"/>
          <w:lang w:val="en-US"/>
        </w:rPr>
        <w:t>7</w:t>
      </w:r>
      <w:r w:rsidR="00235812">
        <w:rPr>
          <w:sz w:val="22"/>
          <w:szCs w:val="22"/>
          <w:lang w:val="en-US"/>
        </w:rPr>
        <w:t>.2</w:t>
      </w:r>
      <w:r w:rsidR="00C354DC">
        <w:rPr>
          <w:sz w:val="22"/>
          <w:szCs w:val="22"/>
          <w:lang w:val="en-US"/>
        </w:rPr>
        <w:t>.</w:t>
      </w:r>
      <w:r w:rsidR="001254A6">
        <w:rPr>
          <w:sz w:val="22"/>
          <w:szCs w:val="22"/>
          <w:lang w:val="en-US"/>
        </w:rPr>
        <w:t>2</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36F802DA"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354DC">
        <w:rPr>
          <w:sz w:val="22"/>
          <w:szCs w:val="22"/>
          <w:lang w:val="en-US"/>
        </w:rPr>
        <w:t>Open issues</w:t>
      </w:r>
      <w:r w:rsidR="00B7229B">
        <w:rPr>
          <w:sz w:val="22"/>
          <w:szCs w:val="22"/>
          <w:lang w:val="en-US"/>
        </w:rPr>
        <w:t xml:space="preserve"> on </w:t>
      </w:r>
      <w:r w:rsidR="00C354DC">
        <w:rPr>
          <w:sz w:val="22"/>
          <w:szCs w:val="22"/>
          <w:lang w:val="en-US"/>
        </w:rPr>
        <w:t xml:space="preserve">RRC parameters for </w:t>
      </w:r>
      <w:r w:rsidR="001254A6" w:rsidRPr="001254A6">
        <w:rPr>
          <w:sz w:val="22"/>
          <w:szCs w:val="22"/>
          <w:lang w:val="en-US"/>
        </w:rPr>
        <w:t>CSI acquisition and beam management</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3D3684A5" w:rsidR="00D538F4" w:rsidRDefault="00C354DC" w:rsidP="00D538F4">
      <w:pPr>
        <w:pStyle w:val="BodyText"/>
        <w:rPr>
          <w:lang w:val="en-US"/>
        </w:rPr>
      </w:pPr>
      <w:r>
        <w:rPr>
          <w:lang w:val="en-US"/>
        </w:rPr>
        <w:t>In this contribution, we aim to highlight the open issues related to RRC parameters that would need to be finalized during this m</w:t>
      </w:r>
      <w:r w:rsidR="003C34F0">
        <w:rPr>
          <w:lang w:val="en-US"/>
        </w:rPr>
        <w:t>eeting. The contribution focuses</w:t>
      </w:r>
      <w:r>
        <w:rPr>
          <w:lang w:val="en-US"/>
        </w:rPr>
        <w:t xml:space="preserve"> on </w:t>
      </w:r>
      <w:r w:rsidR="001254A6">
        <w:rPr>
          <w:lang w:val="en-US"/>
        </w:rPr>
        <w:t>CSI acquisition and beam management.</w:t>
      </w:r>
    </w:p>
    <w:p w14:paraId="2DFAC73A" w14:textId="249B16C3" w:rsidR="00EA60F2" w:rsidRDefault="00C354DC" w:rsidP="000B0589">
      <w:pPr>
        <w:pStyle w:val="Heading1"/>
        <w:rPr>
          <w:lang w:val="en-US"/>
        </w:rPr>
      </w:pPr>
      <w:r>
        <w:rPr>
          <w:lang w:val="en-US"/>
        </w:rPr>
        <w:t>Discussion</w:t>
      </w:r>
    </w:p>
    <w:p w14:paraId="6454C1EB" w14:textId="2731E5CB" w:rsidR="003E3B11" w:rsidRDefault="00C354DC" w:rsidP="00C354DC">
      <w:pPr>
        <w:pStyle w:val="BodyText"/>
        <w:spacing w:after="240"/>
      </w:pPr>
      <w:r>
        <w:t xml:space="preserve">For each of the topics within the </w:t>
      </w:r>
      <w:r w:rsidR="001254A6">
        <w:t xml:space="preserve">CSI acquisition and beam management and </w:t>
      </w:r>
      <w:r>
        <w:t xml:space="preserve">we try to highlight the open issues to </w:t>
      </w:r>
      <w:r w:rsidR="00235812">
        <w:t>facilitate</w:t>
      </w:r>
      <w:r>
        <w:t xml:space="preserve"> a better targeted discussion during RAN1 #90bis.</w:t>
      </w:r>
    </w:p>
    <w:p w14:paraId="40495697" w14:textId="3B43C80C" w:rsidR="0055224F" w:rsidRDefault="00641F23" w:rsidP="00641F23">
      <w:pPr>
        <w:pStyle w:val="Heading2"/>
      </w:pPr>
      <w:r>
        <w:t>CSI &amp; Beam Management Framework</w:t>
      </w:r>
    </w:p>
    <w:p w14:paraId="325E4BA7" w14:textId="645676CB" w:rsidR="00D900F1" w:rsidRPr="00D900F1" w:rsidRDefault="00D900F1" w:rsidP="00D900F1">
      <w:r>
        <w:t>These parameters are currently listed in the RRC parameter document</w:t>
      </w:r>
      <w:r>
        <w:t xml:space="preserve"> regarding the CSI and Beam Management Framework. Not all parameters are shown, for example, the codebook related parameters are left out. </w:t>
      </w:r>
    </w:p>
    <w:tbl>
      <w:tblPr>
        <w:tblW w:w="9826" w:type="dxa"/>
        <w:tblCellMar>
          <w:top w:w="15" w:type="dxa"/>
          <w:bottom w:w="15" w:type="dxa"/>
        </w:tblCellMar>
        <w:tblLook w:val="04A0" w:firstRow="1" w:lastRow="0" w:firstColumn="1" w:lastColumn="0" w:noHBand="0" w:noVBand="1"/>
      </w:tblPr>
      <w:tblGrid>
        <w:gridCol w:w="2298"/>
        <w:gridCol w:w="4426"/>
        <w:gridCol w:w="3102"/>
      </w:tblGrid>
      <w:tr w:rsidR="00B4283E" w:rsidRPr="00B4283E" w14:paraId="1E03FEB8" w14:textId="77777777" w:rsidTr="000F0FA5">
        <w:trPr>
          <w:trHeight w:val="450"/>
        </w:trPr>
        <w:tc>
          <w:tcPr>
            <w:tcW w:w="2298" w:type="dxa"/>
            <w:tcBorders>
              <w:top w:val="single" w:sz="4" w:space="0" w:color="auto"/>
              <w:left w:val="single" w:sz="4" w:space="0" w:color="auto"/>
              <w:bottom w:val="single" w:sz="4" w:space="0" w:color="auto"/>
              <w:right w:val="single" w:sz="4" w:space="0" w:color="auto"/>
            </w:tcBorders>
            <w:vAlign w:val="center"/>
            <w:hideMark/>
          </w:tcPr>
          <w:p w14:paraId="1DE9D1E2" w14:textId="66D6E044"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ReportConfigMax</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257D74" w14:textId="61F23292"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Maximum number of report configurations</w:t>
            </w:r>
          </w:p>
        </w:tc>
        <w:tc>
          <w:tcPr>
            <w:tcW w:w="3102" w:type="dxa"/>
            <w:tcBorders>
              <w:top w:val="single" w:sz="4" w:space="0" w:color="auto"/>
              <w:left w:val="single" w:sz="4" w:space="0" w:color="auto"/>
              <w:bottom w:val="single" w:sz="4" w:space="0" w:color="auto"/>
              <w:right w:val="single" w:sz="4" w:space="0" w:color="auto"/>
            </w:tcBorders>
            <w:vAlign w:val="center"/>
            <w:hideMark/>
          </w:tcPr>
          <w:p w14:paraId="6F4AA760" w14:textId="77777777" w:rsidR="00B4283E" w:rsidRPr="00B4283E" w:rsidRDefault="00B4283E" w:rsidP="00B4283E">
            <w:pPr>
              <w:overflowPunct/>
              <w:autoSpaceDE/>
              <w:autoSpaceDN/>
              <w:adjustRightInd/>
              <w:spacing w:after="0"/>
              <w:jc w:val="left"/>
              <w:textAlignment w:val="auto"/>
              <w:rPr>
                <w:rFonts w:cs="Arial"/>
                <w:sz w:val="16"/>
                <w:szCs w:val="16"/>
                <w:lang w:val="en-US" w:eastAsia="en-US"/>
              </w:rPr>
            </w:pPr>
          </w:p>
        </w:tc>
      </w:tr>
      <w:tr w:rsidR="00B4283E" w:rsidRPr="00B4283E" w14:paraId="279A02DD" w14:textId="77777777" w:rsidTr="000F0FA5">
        <w:trPr>
          <w:trHeight w:val="450"/>
        </w:trPr>
        <w:tc>
          <w:tcPr>
            <w:tcW w:w="2298" w:type="dxa"/>
            <w:tcBorders>
              <w:top w:val="single" w:sz="4" w:space="0" w:color="auto"/>
              <w:left w:val="single" w:sz="4" w:space="0" w:color="auto"/>
              <w:bottom w:val="single" w:sz="4" w:space="0" w:color="auto"/>
              <w:right w:val="single" w:sz="4" w:space="0" w:color="auto"/>
            </w:tcBorders>
            <w:vAlign w:val="center"/>
            <w:hideMark/>
          </w:tcPr>
          <w:p w14:paraId="1A4FA19A" w14:textId="22C33A2E"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ResourceConfigMax</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F752BB" w14:textId="0E9A5111"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Maximum number of resource configurations</w:t>
            </w:r>
          </w:p>
        </w:tc>
        <w:tc>
          <w:tcPr>
            <w:tcW w:w="3102" w:type="dxa"/>
            <w:tcBorders>
              <w:top w:val="single" w:sz="4" w:space="0" w:color="auto"/>
              <w:left w:val="single" w:sz="4" w:space="0" w:color="auto"/>
              <w:bottom w:val="single" w:sz="4" w:space="0" w:color="auto"/>
              <w:right w:val="single" w:sz="4" w:space="0" w:color="auto"/>
            </w:tcBorders>
            <w:vAlign w:val="center"/>
            <w:hideMark/>
          </w:tcPr>
          <w:p w14:paraId="5A2DBC34" w14:textId="77777777" w:rsidR="00B4283E" w:rsidRPr="00B4283E" w:rsidRDefault="00B4283E" w:rsidP="00B4283E">
            <w:pPr>
              <w:overflowPunct/>
              <w:autoSpaceDE/>
              <w:autoSpaceDN/>
              <w:adjustRightInd/>
              <w:spacing w:after="0"/>
              <w:jc w:val="left"/>
              <w:textAlignment w:val="auto"/>
              <w:rPr>
                <w:rFonts w:cs="Arial"/>
                <w:sz w:val="16"/>
                <w:szCs w:val="16"/>
                <w:lang w:val="en-US" w:eastAsia="en-US"/>
              </w:rPr>
            </w:pPr>
          </w:p>
        </w:tc>
      </w:tr>
      <w:tr w:rsidR="00B4283E" w:rsidRPr="00B4283E" w14:paraId="25C8ABAA" w14:textId="77777777" w:rsidTr="000F0FA5">
        <w:trPr>
          <w:trHeight w:val="450"/>
        </w:trPr>
        <w:tc>
          <w:tcPr>
            <w:tcW w:w="2298" w:type="dxa"/>
            <w:tcBorders>
              <w:top w:val="single" w:sz="4" w:space="0" w:color="auto"/>
              <w:left w:val="single" w:sz="4" w:space="0" w:color="auto"/>
              <w:bottom w:val="single" w:sz="4" w:space="0" w:color="auto"/>
              <w:right w:val="single" w:sz="4" w:space="0" w:color="auto"/>
            </w:tcBorders>
            <w:vAlign w:val="center"/>
            <w:hideMark/>
          </w:tcPr>
          <w:p w14:paraId="5A6CA84F" w14:textId="08F19DF8"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MeasLinkConfigMax</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81B83E" w14:textId="6EFE45F0"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Maximum number of link configurations</w:t>
            </w:r>
          </w:p>
        </w:tc>
        <w:tc>
          <w:tcPr>
            <w:tcW w:w="3102" w:type="dxa"/>
            <w:tcBorders>
              <w:top w:val="single" w:sz="4" w:space="0" w:color="auto"/>
              <w:left w:val="single" w:sz="4" w:space="0" w:color="auto"/>
              <w:bottom w:val="single" w:sz="4" w:space="0" w:color="auto"/>
              <w:right w:val="single" w:sz="4" w:space="0" w:color="auto"/>
            </w:tcBorders>
            <w:vAlign w:val="center"/>
            <w:hideMark/>
          </w:tcPr>
          <w:p w14:paraId="2C85D853" w14:textId="77777777" w:rsidR="00B4283E" w:rsidRPr="00B4283E" w:rsidRDefault="00B4283E" w:rsidP="00B4283E">
            <w:pPr>
              <w:overflowPunct/>
              <w:autoSpaceDE/>
              <w:autoSpaceDN/>
              <w:adjustRightInd/>
              <w:spacing w:after="0"/>
              <w:jc w:val="left"/>
              <w:textAlignment w:val="auto"/>
              <w:rPr>
                <w:rFonts w:cs="Arial"/>
                <w:sz w:val="16"/>
                <w:szCs w:val="16"/>
                <w:lang w:val="en-US" w:eastAsia="en-US"/>
              </w:rPr>
            </w:pPr>
          </w:p>
        </w:tc>
      </w:tr>
      <w:tr w:rsidR="00B4283E" w:rsidRPr="00B4283E" w14:paraId="16CD2D1B" w14:textId="77777777" w:rsidTr="000F0FA5">
        <w:trPr>
          <w:trHeight w:val="450"/>
        </w:trPr>
        <w:tc>
          <w:tcPr>
            <w:tcW w:w="2298" w:type="dxa"/>
            <w:tcBorders>
              <w:top w:val="single" w:sz="4" w:space="0" w:color="auto"/>
              <w:left w:val="single" w:sz="4" w:space="0" w:color="auto"/>
              <w:bottom w:val="single" w:sz="4" w:space="0" w:color="auto"/>
              <w:right w:val="single" w:sz="4" w:space="0" w:color="auto"/>
            </w:tcBorders>
            <w:vAlign w:val="center"/>
            <w:hideMark/>
          </w:tcPr>
          <w:p w14:paraId="1E6E657D" w14:textId="18B7A66D"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ResourceSetMax</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381FE4" w14:textId="1F51BBCE"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Maximum number of resource sets per resource configuration</w:t>
            </w:r>
          </w:p>
        </w:tc>
        <w:tc>
          <w:tcPr>
            <w:tcW w:w="3102" w:type="dxa"/>
            <w:tcBorders>
              <w:top w:val="single" w:sz="4" w:space="0" w:color="auto"/>
              <w:left w:val="single" w:sz="4" w:space="0" w:color="auto"/>
              <w:bottom w:val="single" w:sz="4" w:space="0" w:color="auto"/>
              <w:right w:val="single" w:sz="4" w:space="0" w:color="auto"/>
            </w:tcBorders>
            <w:vAlign w:val="center"/>
            <w:hideMark/>
          </w:tcPr>
          <w:p w14:paraId="602C1923" w14:textId="77777777" w:rsidR="00B4283E" w:rsidRPr="00B4283E" w:rsidRDefault="00B4283E" w:rsidP="00B4283E">
            <w:pPr>
              <w:overflowPunct/>
              <w:autoSpaceDE/>
              <w:autoSpaceDN/>
              <w:adjustRightInd/>
              <w:spacing w:after="0"/>
              <w:jc w:val="left"/>
              <w:textAlignment w:val="auto"/>
              <w:rPr>
                <w:rFonts w:cs="Arial"/>
                <w:sz w:val="16"/>
                <w:szCs w:val="16"/>
                <w:lang w:val="en-US" w:eastAsia="en-US"/>
              </w:rPr>
            </w:pPr>
          </w:p>
        </w:tc>
      </w:tr>
      <w:tr w:rsidR="00B4283E" w:rsidRPr="00B4283E" w14:paraId="6C259569" w14:textId="77777777" w:rsidTr="000F0FA5">
        <w:trPr>
          <w:trHeight w:val="225"/>
        </w:trPr>
        <w:tc>
          <w:tcPr>
            <w:tcW w:w="2298" w:type="dxa"/>
            <w:tcBorders>
              <w:top w:val="single" w:sz="4" w:space="0" w:color="auto"/>
              <w:left w:val="single" w:sz="4" w:space="0" w:color="auto"/>
              <w:bottom w:val="single" w:sz="4" w:space="0" w:color="auto"/>
              <w:right w:val="single" w:sz="4" w:space="0" w:color="auto"/>
            </w:tcBorders>
            <w:vAlign w:val="center"/>
            <w:hideMark/>
          </w:tcPr>
          <w:p w14:paraId="58483308" w14:textId="667FF876"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CSI-RS-ResourcePerSetMax</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DAAC05" w14:textId="7FA6F05F"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Maximum number of CSI-RS resources per resource set</w:t>
            </w:r>
          </w:p>
        </w:tc>
        <w:tc>
          <w:tcPr>
            <w:tcW w:w="3102" w:type="dxa"/>
            <w:tcBorders>
              <w:top w:val="single" w:sz="4" w:space="0" w:color="auto"/>
              <w:left w:val="single" w:sz="4" w:space="0" w:color="auto"/>
              <w:bottom w:val="single" w:sz="4" w:space="0" w:color="auto"/>
              <w:right w:val="single" w:sz="4" w:space="0" w:color="auto"/>
            </w:tcBorders>
            <w:vAlign w:val="center"/>
            <w:hideMark/>
          </w:tcPr>
          <w:p w14:paraId="34062E28" w14:textId="42606AFE"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8 for CSI acquisition; TBD for beam management</w:t>
            </w:r>
          </w:p>
        </w:tc>
      </w:tr>
      <w:tr w:rsidR="00B4283E" w:rsidRPr="00B4283E" w14:paraId="59B7B7D0" w14:textId="77777777" w:rsidTr="000F0FA5">
        <w:trPr>
          <w:trHeight w:val="225"/>
        </w:trPr>
        <w:tc>
          <w:tcPr>
            <w:tcW w:w="2298" w:type="dxa"/>
            <w:tcBorders>
              <w:top w:val="single" w:sz="4" w:space="0" w:color="auto"/>
              <w:left w:val="single" w:sz="4" w:space="0" w:color="auto"/>
              <w:bottom w:val="single" w:sz="4" w:space="0" w:color="auto"/>
              <w:right w:val="single" w:sz="4" w:space="0" w:color="auto"/>
            </w:tcBorders>
            <w:vAlign w:val="center"/>
            <w:hideMark/>
          </w:tcPr>
          <w:p w14:paraId="78E1D806" w14:textId="6B028012"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color w:val="FF0000"/>
                <w:sz w:val="16"/>
                <w:szCs w:val="16"/>
                <w:lang w:val="en-US" w:eastAsia="en-US"/>
              </w:rPr>
              <w:t>NZP-</w:t>
            </w:r>
            <w:r w:rsidRPr="00B4283E">
              <w:rPr>
                <w:rFonts w:cs="Arial"/>
                <w:sz w:val="16"/>
                <w:szCs w:val="16"/>
                <w:lang w:val="en-US" w:eastAsia="en-US"/>
              </w:rPr>
              <w:t>CSI-RS-ResourceMax</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295A31" w14:textId="1EB757B1"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 xml:space="preserve">Maximum number of </w:t>
            </w:r>
            <w:r w:rsidRPr="00B4283E">
              <w:rPr>
                <w:rFonts w:cs="Arial"/>
                <w:color w:val="FF0000"/>
                <w:sz w:val="16"/>
                <w:szCs w:val="16"/>
                <w:lang w:val="en-US" w:eastAsia="en-US"/>
              </w:rPr>
              <w:t>NZP</w:t>
            </w:r>
            <w:r w:rsidRPr="00B4283E">
              <w:rPr>
                <w:rFonts w:cs="Arial"/>
                <w:sz w:val="16"/>
                <w:szCs w:val="16"/>
                <w:lang w:val="en-US" w:eastAsia="en-US"/>
              </w:rPr>
              <w:t xml:space="preserve"> CSI-RS resources </w:t>
            </w:r>
          </w:p>
        </w:tc>
        <w:tc>
          <w:tcPr>
            <w:tcW w:w="3102" w:type="dxa"/>
            <w:tcBorders>
              <w:top w:val="single" w:sz="4" w:space="0" w:color="auto"/>
              <w:left w:val="single" w:sz="4" w:space="0" w:color="auto"/>
              <w:bottom w:val="single" w:sz="4" w:space="0" w:color="auto"/>
              <w:right w:val="single" w:sz="4" w:space="0" w:color="auto"/>
            </w:tcBorders>
            <w:vAlign w:val="center"/>
            <w:hideMark/>
          </w:tcPr>
          <w:p w14:paraId="4C75AE97" w14:textId="77777777" w:rsidR="00B4283E" w:rsidRPr="00B4283E" w:rsidRDefault="00B4283E" w:rsidP="00B4283E">
            <w:pPr>
              <w:overflowPunct/>
              <w:autoSpaceDE/>
              <w:autoSpaceDN/>
              <w:adjustRightInd/>
              <w:spacing w:after="0"/>
              <w:jc w:val="left"/>
              <w:textAlignment w:val="auto"/>
              <w:rPr>
                <w:rFonts w:cs="Arial"/>
                <w:sz w:val="16"/>
                <w:szCs w:val="16"/>
                <w:lang w:val="en-US" w:eastAsia="en-US"/>
              </w:rPr>
            </w:pPr>
          </w:p>
        </w:tc>
      </w:tr>
      <w:tr w:rsidR="00B4283E" w:rsidRPr="00B4283E" w14:paraId="5C531A12" w14:textId="77777777" w:rsidTr="000F0FA5">
        <w:trPr>
          <w:trHeight w:val="225"/>
        </w:trPr>
        <w:tc>
          <w:tcPr>
            <w:tcW w:w="2298" w:type="dxa"/>
            <w:tcBorders>
              <w:top w:val="single" w:sz="4" w:space="0" w:color="auto"/>
              <w:left w:val="single" w:sz="4" w:space="0" w:color="auto"/>
              <w:bottom w:val="single" w:sz="4" w:space="0" w:color="auto"/>
              <w:right w:val="single" w:sz="4" w:space="0" w:color="auto"/>
            </w:tcBorders>
            <w:vAlign w:val="center"/>
            <w:hideMark/>
          </w:tcPr>
          <w:p w14:paraId="7813820C" w14:textId="2E0E7C75"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trike/>
                <w:color w:val="FF0000"/>
                <w:sz w:val="16"/>
                <w:szCs w:val="16"/>
                <w:lang w:val="en-US" w:eastAsia="en-US"/>
              </w:rPr>
              <w:t>Aperiodic</w:t>
            </w:r>
            <w:r w:rsidRPr="00B4283E">
              <w:rPr>
                <w:rFonts w:cs="Arial"/>
                <w:sz w:val="16"/>
                <w:szCs w:val="16"/>
                <w:lang w:val="en-US" w:eastAsia="en-US"/>
              </w:rPr>
              <w:t>ReportTrigger</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70FE3F" w14:textId="53539D67"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 xml:space="preserve">Contains trigger states for dynamically selecting one or more aperiodic </w:t>
            </w:r>
            <w:r w:rsidRPr="00B4283E">
              <w:rPr>
                <w:rFonts w:cs="Arial"/>
                <w:color w:val="FF0000"/>
                <w:sz w:val="16"/>
                <w:szCs w:val="16"/>
                <w:lang w:val="en-US" w:eastAsia="en-US"/>
              </w:rPr>
              <w:t>and semi-persistent</w:t>
            </w:r>
            <w:r w:rsidRPr="00B4283E">
              <w:rPr>
                <w:rFonts w:cs="Arial"/>
                <w:sz w:val="16"/>
                <w:szCs w:val="16"/>
                <w:lang w:val="en-US" w:eastAsia="en-US"/>
              </w:rPr>
              <w:t xml:space="preserve"> reporting configurations</w:t>
            </w:r>
          </w:p>
        </w:tc>
        <w:tc>
          <w:tcPr>
            <w:tcW w:w="3102" w:type="dxa"/>
            <w:tcBorders>
              <w:top w:val="single" w:sz="4" w:space="0" w:color="auto"/>
              <w:left w:val="single" w:sz="4" w:space="0" w:color="auto"/>
              <w:bottom w:val="single" w:sz="4" w:space="0" w:color="auto"/>
              <w:right w:val="single" w:sz="4" w:space="0" w:color="auto"/>
            </w:tcBorders>
            <w:vAlign w:val="center"/>
            <w:hideMark/>
          </w:tcPr>
          <w:p w14:paraId="4CD68257" w14:textId="77777777" w:rsidR="00B4283E" w:rsidRPr="00B4283E" w:rsidRDefault="00B4283E" w:rsidP="00B4283E">
            <w:pPr>
              <w:overflowPunct/>
              <w:autoSpaceDE/>
              <w:autoSpaceDN/>
              <w:adjustRightInd/>
              <w:spacing w:after="0"/>
              <w:jc w:val="left"/>
              <w:textAlignment w:val="auto"/>
              <w:rPr>
                <w:rFonts w:cs="Arial"/>
                <w:sz w:val="16"/>
                <w:szCs w:val="16"/>
                <w:lang w:val="en-US" w:eastAsia="en-US"/>
              </w:rPr>
            </w:pPr>
          </w:p>
        </w:tc>
      </w:tr>
      <w:tr w:rsidR="00B4283E" w:rsidRPr="00B4283E" w14:paraId="7258C13D" w14:textId="77777777" w:rsidTr="000F0FA5">
        <w:trPr>
          <w:trHeight w:val="225"/>
        </w:trPr>
        <w:tc>
          <w:tcPr>
            <w:tcW w:w="2298" w:type="dxa"/>
            <w:tcBorders>
              <w:top w:val="single" w:sz="4" w:space="0" w:color="auto"/>
              <w:left w:val="single" w:sz="4" w:space="0" w:color="auto"/>
              <w:bottom w:val="single" w:sz="4" w:space="0" w:color="auto"/>
              <w:right w:val="single" w:sz="4" w:space="0" w:color="auto"/>
            </w:tcBorders>
            <w:vAlign w:val="center"/>
          </w:tcPr>
          <w:p w14:paraId="24D0F42C" w14:textId="0FBF5ADC" w:rsidR="00B4283E" w:rsidRPr="00B4283E" w:rsidRDefault="00B4283E" w:rsidP="00B4283E">
            <w:pPr>
              <w:overflowPunct/>
              <w:autoSpaceDE/>
              <w:autoSpaceDN/>
              <w:adjustRightInd/>
              <w:spacing w:after="0"/>
              <w:jc w:val="center"/>
              <w:textAlignment w:val="auto"/>
              <w:rPr>
                <w:rFonts w:cs="Arial"/>
                <w:strike/>
                <w:color w:val="FF0000"/>
                <w:sz w:val="16"/>
                <w:szCs w:val="16"/>
                <w:lang w:val="en-US" w:eastAsia="en-US"/>
              </w:rPr>
            </w:pPr>
            <w:r w:rsidRPr="00B4283E">
              <w:rPr>
                <w:rFonts w:cs="Arial"/>
                <w:color w:val="FF0000"/>
                <w:sz w:val="16"/>
                <w:szCs w:val="16"/>
                <w:lang w:val="en-US" w:eastAsia="en-US"/>
              </w:rPr>
              <w:t>ZP-CSI-RS-ResourceMax</w:t>
            </w:r>
          </w:p>
        </w:tc>
        <w:tc>
          <w:tcPr>
            <w:tcW w:w="4426" w:type="dxa"/>
            <w:tcBorders>
              <w:top w:val="single" w:sz="4" w:space="0" w:color="auto"/>
              <w:left w:val="single" w:sz="4" w:space="0" w:color="auto"/>
              <w:bottom w:val="single" w:sz="4" w:space="0" w:color="auto"/>
              <w:right w:val="single" w:sz="4" w:space="0" w:color="auto"/>
            </w:tcBorders>
            <w:vAlign w:val="center"/>
          </w:tcPr>
          <w:p w14:paraId="7F33FE24" w14:textId="3B0D7693"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color w:val="FF0000"/>
                <w:sz w:val="16"/>
                <w:szCs w:val="16"/>
                <w:lang w:val="en-US" w:eastAsia="en-US"/>
              </w:rPr>
              <w:t xml:space="preserve">Maximum number of ZP CSI-RS resources </w:t>
            </w:r>
          </w:p>
        </w:tc>
        <w:tc>
          <w:tcPr>
            <w:tcW w:w="3102" w:type="dxa"/>
            <w:tcBorders>
              <w:top w:val="single" w:sz="4" w:space="0" w:color="auto"/>
              <w:left w:val="single" w:sz="4" w:space="0" w:color="auto"/>
              <w:bottom w:val="single" w:sz="4" w:space="0" w:color="auto"/>
              <w:right w:val="single" w:sz="4" w:space="0" w:color="auto"/>
            </w:tcBorders>
            <w:vAlign w:val="center"/>
          </w:tcPr>
          <w:p w14:paraId="08A9BA32" w14:textId="77777777" w:rsidR="00B4283E" w:rsidRPr="00B4283E" w:rsidRDefault="00B4283E" w:rsidP="00B4283E">
            <w:pPr>
              <w:overflowPunct/>
              <w:autoSpaceDE/>
              <w:autoSpaceDN/>
              <w:adjustRightInd/>
              <w:spacing w:after="0"/>
              <w:jc w:val="left"/>
              <w:textAlignment w:val="auto"/>
              <w:rPr>
                <w:rFonts w:cs="Arial"/>
                <w:sz w:val="16"/>
                <w:szCs w:val="16"/>
                <w:lang w:val="en-US" w:eastAsia="en-US"/>
              </w:rPr>
            </w:pPr>
          </w:p>
        </w:tc>
      </w:tr>
      <w:tr w:rsidR="00B4283E" w:rsidRPr="00B4283E" w14:paraId="5E025B3D" w14:textId="77777777" w:rsidTr="000F0FA5">
        <w:trPr>
          <w:trHeight w:val="450"/>
        </w:trPr>
        <w:tc>
          <w:tcPr>
            <w:tcW w:w="2298" w:type="dxa"/>
            <w:tcBorders>
              <w:top w:val="single" w:sz="4" w:space="0" w:color="auto"/>
              <w:left w:val="single" w:sz="4" w:space="0" w:color="auto"/>
              <w:bottom w:val="single" w:sz="4" w:space="0" w:color="auto"/>
              <w:right w:val="single" w:sz="4" w:space="0" w:color="auto"/>
            </w:tcBorders>
            <w:vAlign w:val="center"/>
            <w:hideMark/>
          </w:tcPr>
          <w:p w14:paraId="7B1C15E7" w14:textId="1478BAB6"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ReportSlotConfig</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81384C" w14:textId="62DD6AD4"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Contains periodicity and slot offset for periodic/semi-persistent reporting</w:t>
            </w:r>
          </w:p>
        </w:tc>
        <w:tc>
          <w:tcPr>
            <w:tcW w:w="3102" w:type="dxa"/>
            <w:tcBorders>
              <w:top w:val="single" w:sz="4" w:space="0" w:color="auto"/>
              <w:left w:val="single" w:sz="4" w:space="0" w:color="auto"/>
              <w:bottom w:val="single" w:sz="4" w:space="0" w:color="auto"/>
              <w:right w:val="single" w:sz="4" w:space="0" w:color="auto"/>
            </w:tcBorders>
            <w:vAlign w:val="center"/>
            <w:hideMark/>
          </w:tcPr>
          <w:p w14:paraId="1B59C5B4" w14:textId="77777777" w:rsidR="00B4283E" w:rsidRPr="00B4283E" w:rsidRDefault="00B4283E" w:rsidP="00B4283E">
            <w:pPr>
              <w:overflowPunct/>
              <w:autoSpaceDE/>
              <w:autoSpaceDN/>
              <w:adjustRightInd/>
              <w:spacing w:after="0"/>
              <w:jc w:val="left"/>
              <w:textAlignment w:val="auto"/>
              <w:rPr>
                <w:rFonts w:cs="Arial"/>
                <w:sz w:val="16"/>
                <w:szCs w:val="16"/>
                <w:lang w:val="en-US" w:eastAsia="en-US"/>
              </w:rPr>
            </w:pPr>
          </w:p>
        </w:tc>
      </w:tr>
      <w:tr w:rsidR="00B4283E" w:rsidRPr="00B4283E" w14:paraId="6816EB96" w14:textId="77777777" w:rsidTr="000F0FA5">
        <w:trPr>
          <w:trHeight w:val="450"/>
        </w:trPr>
        <w:tc>
          <w:tcPr>
            <w:tcW w:w="2298" w:type="dxa"/>
            <w:tcBorders>
              <w:top w:val="single" w:sz="4" w:space="0" w:color="auto"/>
              <w:left w:val="single" w:sz="4" w:space="0" w:color="auto"/>
              <w:bottom w:val="single" w:sz="4" w:space="0" w:color="auto"/>
              <w:right w:val="single" w:sz="4" w:space="0" w:color="auto"/>
            </w:tcBorders>
            <w:vAlign w:val="center"/>
            <w:hideMark/>
          </w:tcPr>
          <w:p w14:paraId="1B730CA1" w14:textId="47C039EB"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AperiodicReportSlotOffset</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B82B52" w14:textId="6688867A"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 xml:space="preserve">Allowed values of the timing offset Y for aperiodic reporting. A particular value is indicated in DCI. </w:t>
            </w:r>
          </w:p>
        </w:tc>
        <w:tc>
          <w:tcPr>
            <w:tcW w:w="3102" w:type="dxa"/>
            <w:tcBorders>
              <w:top w:val="single" w:sz="4" w:space="0" w:color="auto"/>
              <w:left w:val="single" w:sz="4" w:space="0" w:color="auto"/>
              <w:bottom w:val="single" w:sz="4" w:space="0" w:color="auto"/>
              <w:right w:val="single" w:sz="4" w:space="0" w:color="auto"/>
            </w:tcBorders>
            <w:vAlign w:val="center"/>
            <w:hideMark/>
          </w:tcPr>
          <w:p w14:paraId="5F62B06B" w14:textId="1E9BD110" w:rsidR="00B4283E" w:rsidRPr="00B4283E" w:rsidRDefault="00B4283E" w:rsidP="00B4283E">
            <w:pPr>
              <w:overflowPunct/>
              <w:autoSpaceDE/>
              <w:autoSpaceDN/>
              <w:adjustRightInd/>
              <w:spacing w:after="0"/>
              <w:jc w:val="center"/>
              <w:textAlignment w:val="auto"/>
              <w:rPr>
                <w:rFonts w:cs="Arial"/>
                <w:sz w:val="16"/>
                <w:szCs w:val="16"/>
                <w:lang w:val="en-US" w:eastAsia="en-US"/>
              </w:rPr>
            </w:pPr>
          </w:p>
        </w:tc>
      </w:tr>
      <w:tr w:rsidR="00B4283E" w:rsidRPr="00B4283E" w14:paraId="2414DDCB" w14:textId="77777777" w:rsidTr="000F0FA5">
        <w:trPr>
          <w:trHeight w:val="225"/>
        </w:trPr>
        <w:tc>
          <w:tcPr>
            <w:tcW w:w="2298" w:type="dxa"/>
            <w:tcBorders>
              <w:top w:val="single" w:sz="4" w:space="0" w:color="auto"/>
              <w:left w:val="single" w:sz="4" w:space="0" w:color="auto"/>
              <w:bottom w:val="single" w:sz="4" w:space="0" w:color="auto"/>
              <w:right w:val="single" w:sz="4" w:space="0" w:color="auto"/>
            </w:tcBorders>
            <w:vAlign w:val="center"/>
            <w:hideMark/>
          </w:tcPr>
          <w:p w14:paraId="5258B6DA" w14:textId="2DBD38C1"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ReportQuantity</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6BAF79" w14:textId="0F73D79A"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The CSI related quanities to report</w:t>
            </w:r>
          </w:p>
        </w:tc>
        <w:tc>
          <w:tcPr>
            <w:tcW w:w="3102" w:type="dxa"/>
            <w:tcBorders>
              <w:top w:val="single" w:sz="4" w:space="0" w:color="auto"/>
              <w:left w:val="single" w:sz="4" w:space="0" w:color="auto"/>
              <w:bottom w:val="single" w:sz="4" w:space="0" w:color="auto"/>
              <w:right w:val="single" w:sz="4" w:space="0" w:color="auto"/>
            </w:tcBorders>
            <w:vAlign w:val="center"/>
            <w:hideMark/>
          </w:tcPr>
          <w:p w14:paraId="2E378C7A" w14:textId="5871AE1A"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color w:val="FF0000"/>
                <w:sz w:val="16"/>
                <w:szCs w:val="16"/>
                <w:lang w:val="en-US" w:eastAsia="en-US"/>
              </w:rPr>
              <w:t>{CRI/RI/PMI/CQI,  CRI/RI/i1, CRI/RI/i1/CQI, CRI/RI/CQI, CRI, CRI/RSRP}</w:t>
            </w:r>
          </w:p>
        </w:tc>
      </w:tr>
      <w:tr w:rsidR="00B4283E" w:rsidRPr="00B4283E" w14:paraId="09EEDDC5" w14:textId="77777777" w:rsidTr="000F0FA5">
        <w:trPr>
          <w:trHeight w:val="675"/>
        </w:trPr>
        <w:tc>
          <w:tcPr>
            <w:tcW w:w="2298" w:type="dxa"/>
            <w:tcBorders>
              <w:top w:val="single" w:sz="4" w:space="0" w:color="auto"/>
              <w:left w:val="single" w:sz="4" w:space="0" w:color="auto"/>
              <w:bottom w:val="single" w:sz="4" w:space="0" w:color="auto"/>
              <w:right w:val="single" w:sz="4" w:space="0" w:color="auto"/>
            </w:tcBorders>
            <w:vAlign w:val="center"/>
            <w:hideMark/>
          </w:tcPr>
          <w:p w14:paraId="4F8D746F" w14:textId="1F470BC9"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ReportFreqGranularity</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B8AF4E" w14:textId="0EE2C2BB"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Reporting granularity in the frequency domain. Contains parameters to enable configuration of at least subband or wideband PMI and CQI reporting separately.</w:t>
            </w:r>
          </w:p>
        </w:tc>
        <w:tc>
          <w:tcPr>
            <w:tcW w:w="3102" w:type="dxa"/>
            <w:tcBorders>
              <w:top w:val="single" w:sz="4" w:space="0" w:color="auto"/>
              <w:left w:val="single" w:sz="4" w:space="0" w:color="auto"/>
              <w:bottom w:val="single" w:sz="4" w:space="0" w:color="auto"/>
              <w:right w:val="single" w:sz="4" w:space="0" w:color="auto"/>
            </w:tcBorders>
            <w:vAlign w:val="center"/>
            <w:hideMark/>
          </w:tcPr>
          <w:p w14:paraId="4829E2CE" w14:textId="77777777" w:rsidR="00B4283E" w:rsidRPr="00B4283E" w:rsidRDefault="00B4283E" w:rsidP="00B4283E">
            <w:pPr>
              <w:overflowPunct/>
              <w:autoSpaceDE/>
              <w:autoSpaceDN/>
              <w:adjustRightInd/>
              <w:spacing w:after="0"/>
              <w:jc w:val="left"/>
              <w:textAlignment w:val="auto"/>
              <w:rPr>
                <w:rFonts w:cs="Arial"/>
                <w:sz w:val="16"/>
                <w:szCs w:val="16"/>
                <w:lang w:val="en-US" w:eastAsia="en-US"/>
              </w:rPr>
            </w:pPr>
          </w:p>
        </w:tc>
      </w:tr>
      <w:tr w:rsidR="00B4283E" w:rsidRPr="00B4283E" w14:paraId="04CA5A93" w14:textId="77777777" w:rsidTr="000F0FA5">
        <w:trPr>
          <w:trHeight w:val="225"/>
        </w:trPr>
        <w:tc>
          <w:tcPr>
            <w:tcW w:w="2298" w:type="dxa"/>
            <w:tcBorders>
              <w:top w:val="single" w:sz="4" w:space="0" w:color="auto"/>
              <w:left w:val="single" w:sz="4" w:space="0" w:color="auto"/>
              <w:bottom w:val="single" w:sz="4" w:space="0" w:color="auto"/>
              <w:right w:val="single" w:sz="4" w:space="0" w:color="auto"/>
            </w:tcBorders>
            <w:vAlign w:val="center"/>
            <w:hideMark/>
          </w:tcPr>
          <w:p w14:paraId="2BBE80D8" w14:textId="5BBBF3A7"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MeasRestrictionConfig-time-channel</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61B3BD" w14:textId="2D3B167A"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Parameters to enable configuration of time domain measurement restriction for channel.</w:t>
            </w:r>
          </w:p>
        </w:tc>
        <w:tc>
          <w:tcPr>
            <w:tcW w:w="3102" w:type="dxa"/>
            <w:tcBorders>
              <w:top w:val="single" w:sz="4" w:space="0" w:color="auto"/>
              <w:left w:val="single" w:sz="4" w:space="0" w:color="auto"/>
              <w:bottom w:val="single" w:sz="4" w:space="0" w:color="auto"/>
              <w:right w:val="single" w:sz="4" w:space="0" w:color="auto"/>
            </w:tcBorders>
            <w:vAlign w:val="center"/>
            <w:hideMark/>
          </w:tcPr>
          <w:p w14:paraId="2D392843" w14:textId="77777777" w:rsidR="00B4283E" w:rsidRPr="00B4283E" w:rsidRDefault="00B4283E" w:rsidP="00B4283E">
            <w:pPr>
              <w:overflowPunct/>
              <w:autoSpaceDE/>
              <w:autoSpaceDN/>
              <w:adjustRightInd/>
              <w:spacing w:after="0"/>
              <w:jc w:val="left"/>
              <w:textAlignment w:val="auto"/>
              <w:rPr>
                <w:rFonts w:cs="Arial"/>
                <w:sz w:val="16"/>
                <w:szCs w:val="16"/>
                <w:lang w:val="en-US" w:eastAsia="en-US"/>
              </w:rPr>
            </w:pPr>
          </w:p>
        </w:tc>
      </w:tr>
      <w:tr w:rsidR="00B4283E" w:rsidRPr="00B4283E" w14:paraId="52376E9D" w14:textId="77777777" w:rsidTr="000F0FA5">
        <w:trPr>
          <w:trHeight w:val="225"/>
        </w:trPr>
        <w:tc>
          <w:tcPr>
            <w:tcW w:w="2298" w:type="dxa"/>
            <w:tcBorders>
              <w:top w:val="single" w:sz="4" w:space="0" w:color="auto"/>
              <w:left w:val="single" w:sz="4" w:space="0" w:color="auto"/>
              <w:bottom w:val="single" w:sz="4" w:space="0" w:color="auto"/>
              <w:right w:val="single" w:sz="4" w:space="0" w:color="auto"/>
            </w:tcBorders>
            <w:vAlign w:val="center"/>
            <w:hideMark/>
          </w:tcPr>
          <w:p w14:paraId="620170C6" w14:textId="1FF4035F"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MeasRestrictionConfig-time-interference</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503EAF" w14:textId="70D7E053"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Parameters to enable configuration of time domain measurement restriction for interference separately.</w:t>
            </w:r>
          </w:p>
        </w:tc>
        <w:tc>
          <w:tcPr>
            <w:tcW w:w="3102" w:type="dxa"/>
            <w:tcBorders>
              <w:top w:val="single" w:sz="4" w:space="0" w:color="auto"/>
              <w:left w:val="single" w:sz="4" w:space="0" w:color="auto"/>
              <w:bottom w:val="single" w:sz="4" w:space="0" w:color="auto"/>
              <w:right w:val="single" w:sz="4" w:space="0" w:color="auto"/>
            </w:tcBorders>
            <w:vAlign w:val="center"/>
            <w:hideMark/>
          </w:tcPr>
          <w:p w14:paraId="5D81A8D9" w14:textId="24C5C5B8" w:rsidR="00B4283E" w:rsidRPr="00B4283E" w:rsidRDefault="00B4283E" w:rsidP="00B4283E">
            <w:pPr>
              <w:overflowPunct/>
              <w:autoSpaceDE/>
              <w:autoSpaceDN/>
              <w:adjustRightInd/>
              <w:spacing w:after="0"/>
              <w:jc w:val="center"/>
              <w:textAlignment w:val="auto"/>
              <w:rPr>
                <w:rFonts w:cs="Arial"/>
                <w:sz w:val="16"/>
                <w:szCs w:val="16"/>
                <w:lang w:val="en-US" w:eastAsia="en-US"/>
              </w:rPr>
            </w:pPr>
          </w:p>
        </w:tc>
      </w:tr>
      <w:tr w:rsidR="00B4283E" w:rsidRPr="00B4283E" w14:paraId="13F7823C" w14:textId="77777777" w:rsidTr="000F0FA5">
        <w:trPr>
          <w:trHeight w:val="450"/>
        </w:trPr>
        <w:tc>
          <w:tcPr>
            <w:tcW w:w="2298" w:type="dxa"/>
            <w:tcBorders>
              <w:top w:val="single" w:sz="4" w:space="0" w:color="auto"/>
              <w:left w:val="single" w:sz="4" w:space="0" w:color="auto"/>
              <w:bottom w:val="single" w:sz="4" w:space="0" w:color="auto"/>
              <w:right w:val="single" w:sz="4" w:space="0" w:color="auto"/>
            </w:tcBorders>
            <w:vAlign w:val="center"/>
            <w:hideMark/>
          </w:tcPr>
          <w:p w14:paraId="339B5873" w14:textId="2F3332C4"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lastRenderedPageBreak/>
              <w:t>ResourceRep</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9CFE54" w14:textId="62A7A054"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IE within ResourceSetConfig indicating whether repetition is on/off. Repetition on(off), means that The UE can (can not) assume that the gNB maintains a fixed Tx beam over the resources in the set.</w:t>
            </w:r>
          </w:p>
        </w:tc>
        <w:tc>
          <w:tcPr>
            <w:tcW w:w="3102" w:type="dxa"/>
            <w:tcBorders>
              <w:top w:val="single" w:sz="4" w:space="0" w:color="auto"/>
              <w:left w:val="single" w:sz="4" w:space="0" w:color="auto"/>
              <w:bottom w:val="single" w:sz="4" w:space="0" w:color="auto"/>
              <w:right w:val="single" w:sz="4" w:space="0" w:color="auto"/>
            </w:tcBorders>
            <w:vAlign w:val="center"/>
            <w:hideMark/>
          </w:tcPr>
          <w:p w14:paraId="46D5D274" w14:textId="53BE997F"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ON, OFF</w:t>
            </w:r>
          </w:p>
        </w:tc>
      </w:tr>
      <w:tr w:rsidR="00B4283E" w:rsidRPr="00B4283E" w14:paraId="7DC69D2A" w14:textId="77777777" w:rsidTr="000F0FA5">
        <w:trPr>
          <w:trHeight w:val="450"/>
        </w:trPr>
        <w:tc>
          <w:tcPr>
            <w:tcW w:w="2298" w:type="dxa"/>
            <w:tcBorders>
              <w:top w:val="single" w:sz="4" w:space="0" w:color="auto"/>
              <w:left w:val="single" w:sz="4" w:space="0" w:color="auto"/>
              <w:bottom w:val="single" w:sz="4" w:space="0" w:color="auto"/>
              <w:right w:val="single" w:sz="4" w:space="0" w:color="auto"/>
            </w:tcBorders>
            <w:vAlign w:val="center"/>
            <w:hideMark/>
          </w:tcPr>
          <w:p w14:paraId="194C0653" w14:textId="4F7A89FC"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group-based-beam-reporting</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9B5F6B" w14:textId="14836903"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 xml:space="preserve">Turning on/off group beam based reporting </w:t>
            </w:r>
          </w:p>
        </w:tc>
        <w:tc>
          <w:tcPr>
            <w:tcW w:w="3102" w:type="dxa"/>
            <w:tcBorders>
              <w:top w:val="single" w:sz="4" w:space="0" w:color="auto"/>
              <w:left w:val="single" w:sz="4" w:space="0" w:color="auto"/>
              <w:bottom w:val="single" w:sz="4" w:space="0" w:color="auto"/>
              <w:right w:val="single" w:sz="4" w:space="0" w:color="auto"/>
            </w:tcBorders>
            <w:vAlign w:val="center"/>
            <w:hideMark/>
          </w:tcPr>
          <w:p w14:paraId="27A8475E" w14:textId="10604FD7"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ON, OFF</w:t>
            </w:r>
          </w:p>
        </w:tc>
      </w:tr>
      <w:tr w:rsidR="00B4283E" w:rsidRPr="00B4283E" w14:paraId="0CDFED64" w14:textId="77777777" w:rsidTr="000F0FA5">
        <w:trPr>
          <w:trHeight w:val="450"/>
        </w:trPr>
        <w:tc>
          <w:tcPr>
            <w:tcW w:w="2298" w:type="dxa"/>
            <w:tcBorders>
              <w:top w:val="single" w:sz="4" w:space="0" w:color="auto"/>
              <w:left w:val="single" w:sz="4" w:space="0" w:color="auto"/>
              <w:bottom w:val="single" w:sz="4" w:space="0" w:color="auto"/>
              <w:right w:val="single" w:sz="4" w:space="0" w:color="auto"/>
            </w:tcBorders>
            <w:vAlign w:val="center"/>
            <w:hideMark/>
          </w:tcPr>
          <w:p w14:paraId="4788410E" w14:textId="0D16827E" w:rsidR="00B4283E" w:rsidRPr="00B4283E" w:rsidRDefault="00B4283E" w:rsidP="00B4283E">
            <w:pPr>
              <w:overflowPunct/>
              <w:autoSpaceDE/>
              <w:autoSpaceDN/>
              <w:adjustRightInd/>
              <w:spacing w:after="0"/>
              <w:jc w:val="center"/>
              <w:textAlignment w:val="auto"/>
              <w:rPr>
                <w:rFonts w:cs="Arial"/>
                <w:sz w:val="16"/>
                <w:szCs w:val="16"/>
                <w:lang w:val="en-US" w:eastAsia="en-US"/>
              </w:rPr>
            </w:pPr>
            <w:r w:rsidRPr="00B4283E">
              <w:rPr>
                <w:rFonts w:cs="Arial"/>
                <w:sz w:val="16"/>
                <w:szCs w:val="16"/>
                <w:lang w:val="en-US" w:eastAsia="en-US"/>
              </w:rPr>
              <w:t>number-of-beams-reporting</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348609" w14:textId="09C94B1D"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Number of beams to report for group based beam reporting</w:t>
            </w:r>
          </w:p>
        </w:tc>
        <w:tc>
          <w:tcPr>
            <w:tcW w:w="3102" w:type="dxa"/>
            <w:tcBorders>
              <w:top w:val="single" w:sz="4" w:space="0" w:color="auto"/>
              <w:left w:val="single" w:sz="4" w:space="0" w:color="auto"/>
              <w:bottom w:val="single" w:sz="4" w:space="0" w:color="auto"/>
              <w:right w:val="single" w:sz="4" w:space="0" w:color="auto"/>
            </w:tcBorders>
            <w:vAlign w:val="center"/>
            <w:hideMark/>
          </w:tcPr>
          <w:p w14:paraId="6706D9D7" w14:textId="38940236" w:rsidR="00B4283E" w:rsidRPr="00B4283E" w:rsidRDefault="00B4283E" w:rsidP="00B4283E">
            <w:pPr>
              <w:overflowPunct/>
              <w:autoSpaceDE/>
              <w:autoSpaceDN/>
              <w:adjustRightInd/>
              <w:spacing w:after="0"/>
              <w:jc w:val="left"/>
              <w:textAlignment w:val="auto"/>
              <w:rPr>
                <w:rFonts w:cs="Arial"/>
                <w:sz w:val="16"/>
                <w:szCs w:val="16"/>
                <w:lang w:val="en-US" w:eastAsia="en-US"/>
              </w:rPr>
            </w:pPr>
            <w:r w:rsidRPr="00B4283E">
              <w:rPr>
                <w:rFonts w:cs="Arial"/>
                <w:sz w:val="16"/>
                <w:szCs w:val="16"/>
                <w:lang w:val="en-US" w:eastAsia="en-US"/>
              </w:rPr>
              <w:t>1, 2, …</w:t>
            </w:r>
          </w:p>
        </w:tc>
      </w:tr>
    </w:tbl>
    <w:p w14:paraId="0EE7BFC4" w14:textId="080BD086" w:rsidR="00641F23" w:rsidRDefault="00641F23" w:rsidP="00C354DC">
      <w:pPr>
        <w:pStyle w:val="BodyText"/>
        <w:spacing w:after="240"/>
      </w:pPr>
    </w:p>
    <w:p w14:paraId="75617771" w14:textId="77777777" w:rsidR="00D900F1" w:rsidRDefault="00D900F1" w:rsidP="00D900F1">
      <w:pPr>
        <w:pStyle w:val="BodyText"/>
        <w:spacing w:after="240"/>
        <w:rPr>
          <w:lang w:val="en-US"/>
        </w:rPr>
      </w:pPr>
      <w:r w:rsidRPr="009712F5">
        <w:rPr>
          <w:b/>
          <w:lang w:val="en-US"/>
        </w:rPr>
        <w:t>Proposal</w:t>
      </w:r>
    </w:p>
    <w:p w14:paraId="4A4E19EA" w14:textId="72276819" w:rsidR="00D900F1" w:rsidRDefault="00D900F1" w:rsidP="00D900F1">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Discuss the following open issues as they may have impact on RRC signaling</w:t>
      </w:r>
    </w:p>
    <w:p w14:paraId="35F48569" w14:textId="38530E85" w:rsidR="00D900F1" w:rsidRDefault="00D900F1" w:rsidP="00D900F1">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Maximum number of Report Configs, Resource Configs, Resource Set Configs, CSI-RS Resource Configs (ZP and NZP)</w:t>
      </w:r>
      <w:r w:rsidR="0096116E">
        <w:rPr>
          <w:rFonts w:ascii="Calibri" w:eastAsiaTheme="minorHAnsi" w:hAnsi="Calibri"/>
          <w:sz w:val="22"/>
          <w:szCs w:val="22"/>
          <w:lang w:val="en-US" w:eastAsia="x-none"/>
        </w:rPr>
        <w:t xml:space="preserve"> according to UE capability</w:t>
      </w:r>
    </w:p>
    <w:p w14:paraId="6FE71A13" w14:textId="0C64172E" w:rsidR="00D900F1" w:rsidRDefault="00D900F1" w:rsidP="00D900F1">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Triggering states </w:t>
      </w:r>
      <w:r>
        <w:rPr>
          <w:rFonts w:ascii="Calibri" w:eastAsiaTheme="minorHAnsi" w:hAnsi="Calibri"/>
          <w:sz w:val="22"/>
          <w:szCs w:val="22"/>
          <w:lang w:val="en-US" w:eastAsia="x-none"/>
        </w:rPr>
        <w:t>for aperiodic, semi-persistent resources and reporting</w:t>
      </w:r>
    </w:p>
    <w:p w14:paraId="76D9F176" w14:textId="7D6A7C59" w:rsidR="00673458" w:rsidRDefault="00673458" w:rsidP="00673458">
      <w:pPr>
        <w:pStyle w:val="BodyText"/>
        <w:numPr>
          <w:ilvl w:val="2"/>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Including triggering states for different component carriers (CCs)</w:t>
      </w:r>
    </w:p>
    <w:p w14:paraId="79316C1F" w14:textId="7C3623DF" w:rsidR="0096116E" w:rsidRDefault="0096116E" w:rsidP="00673458">
      <w:pPr>
        <w:pStyle w:val="BodyText"/>
        <w:numPr>
          <w:ilvl w:val="2"/>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Including UE capability aspects</w:t>
      </w:r>
    </w:p>
    <w:p w14:paraId="0D6E9C1C" w14:textId="36264938" w:rsidR="00673458" w:rsidRPr="00673458" w:rsidRDefault="00673458" w:rsidP="00673458">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of CSI hypothesis reporting accounting for CMRs and IMRs</w:t>
      </w:r>
    </w:p>
    <w:p w14:paraId="219255C2" w14:textId="692D0F8F" w:rsidR="00D900F1" w:rsidRDefault="00D900F1" w:rsidP="00D900F1">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Allowed periodicity and slot offset values for periodic/semi-persistent reporting</w:t>
      </w:r>
    </w:p>
    <w:p w14:paraId="00BADF95" w14:textId="04D95F1E" w:rsidR="00D900F1" w:rsidRDefault="00D900F1" w:rsidP="00D900F1">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Allowed timing offset values Y</w:t>
      </w:r>
    </w:p>
    <w:p w14:paraId="2222C2B7" w14:textId="66CF8E12" w:rsidR="00D900F1" w:rsidRDefault="00D900F1" w:rsidP="00D900F1">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of CSI related quantities to report (CRI, RI, PMI, CQI, RSRP) – allowed combinations</w:t>
      </w:r>
    </w:p>
    <w:p w14:paraId="438A473E" w14:textId="33EC7B26" w:rsidR="00D900F1" w:rsidRDefault="00D900F1" w:rsidP="00D900F1">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parameters for subband reporting</w:t>
      </w:r>
    </w:p>
    <w:p w14:paraId="336BCF56" w14:textId="6F49E22F" w:rsidR="00D900F1" w:rsidRDefault="00D900F1" w:rsidP="00D900F1">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parameters for channel and measurement restriction</w:t>
      </w:r>
    </w:p>
    <w:p w14:paraId="00771B51" w14:textId="35B31456" w:rsidR="00D900F1" w:rsidRDefault="00D900F1" w:rsidP="00D900F1">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Potential parameters</w:t>
      </w:r>
      <w:r w:rsidR="00673458">
        <w:rPr>
          <w:rFonts w:ascii="Calibri" w:eastAsiaTheme="minorHAnsi" w:hAnsi="Calibri"/>
          <w:sz w:val="22"/>
          <w:szCs w:val="22"/>
          <w:lang w:val="en-US" w:eastAsia="x-none"/>
        </w:rPr>
        <w:t xml:space="preserve"> for configuring NZP CSI-RS ports for MU interference measurement</w:t>
      </w:r>
    </w:p>
    <w:p w14:paraId="32200547" w14:textId="73CA7C45" w:rsidR="00673458" w:rsidRDefault="00673458" w:rsidP="00D900F1">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of beam management reporting on SSB – parameters indicating subset of SSBs on which to report + resource identities</w:t>
      </w:r>
    </w:p>
    <w:p w14:paraId="484B614C" w14:textId="3C4BA772" w:rsidR="00D900F1" w:rsidRPr="00673458" w:rsidRDefault="00D900F1" w:rsidP="00673458">
      <w:pPr>
        <w:overflowPunct/>
        <w:autoSpaceDE/>
        <w:autoSpaceDN/>
        <w:adjustRightInd/>
        <w:spacing w:after="0"/>
        <w:jc w:val="left"/>
        <w:textAlignment w:val="auto"/>
        <w:rPr>
          <w:rFonts w:ascii="Calibri" w:hAnsi="Calibri"/>
          <w:sz w:val="22"/>
          <w:szCs w:val="22"/>
          <w:lang w:val="en-US" w:eastAsia="en-US"/>
        </w:rPr>
      </w:pPr>
    </w:p>
    <w:p w14:paraId="6FA48068" w14:textId="05A05E35" w:rsidR="00C354DC" w:rsidRDefault="003E1BDD" w:rsidP="00C354DC">
      <w:pPr>
        <w:pStyle w:val="Heading2"/>
      </w:pPr>
      <w:r>
        <w:t>TCI states</w:t>
      </w:r>
    </w:p>
    <w:p w14:paraId="2702D816" w14:textId="67E2268E" w:rsidR="0096116E" w:rsidRPr="0096116E" w:rsidRDefault="0096116E" w:rsidP="00C354DC">
      <w:pPr>
        <w:pStyle w:val="BodyText"/>
        <w:spacing w:after="240"/>
        <w:rPr>
          <w:lang w:eastAsia="x-none"/>
        </w:rPr>
      </w:pPr>
      <w:r>
        <w:t xml:space="preserve">This includes </w:t>
      </w:r>
      <w:r w:rsidRPr="00607237">
        <w:rPr>
          <w:i/>
          <w:lang w:eastAsia="x-none"/>
        </w:rPr>
        <w:t xml:space="preserve">Remaining details </w:t>
      </w:r>
      <w:r>
        <w:rPr>
          <w:i/>
          <w:lang w:eastAsia="x-none"/>
        </w:rPr>
        <w:t>configuration of TCI states for the TCI field carried by DCI.</w:t>
      </w:r>
      <w:r>
        <w:rPr>
          <w:lang w:eastAsia="x-none"/>
        </w:rPr>
        <w:t xml:space="preserve"> </w:t>
      </w:r>
      <w:r>
        <w:rPr>
          <w:lang w:eastAsia="x-none"/>
        </w:rPr>
        <w:t xml:space="preserve">Several open issues exist regarding the </w:t>
      </w:r>
      <w:r>
        <w:rPr>
          <w:lang w:eastAsia="x-none"/>
        </w:rPr>
        <w:t>fine</w:t>
      </w:r>
      <w:r>
        <w:rPr>
          <w:lang w:eastAsia="x-none"/>
        </w:rPr>
        <w:t>r</w:t>
      </w:r>
      <w:r>
        <w:rPr>
          <w:lang w:eastAsia="x-none"/>
        </w:rPr>
        <w:t xml:space="preserve"> details on how TCI states can be configured. There is also an open issue whether TCI states can contain e.g. rate matching parameters. Also, TCI states present in UL grants is under discussion.</w:t>
      </w:r>
    </w:p>
    <w:tbl>
      <w:tblPr>
        <w:tblW w:w="9605" w:type="dxa"/>
        <w:tblCellMar>
          <w:left w:w="70" w:type="dxa"/>
          <w:right w:w="70" w:type="dxa"/>
        </w:tblCellMar>
        <w:tblLook w:val="04A0" w:firstRow="1" w:lastRow="0" w:firstColumn="1" w:lastColumn="0" w:noHBand="0" w:noVBand="1"/>
      </w:tblPr>
      <w:tblGrid>
        <w:gridCol w:w="1719"/>
        <w:gridCol w:w="4725"/>
        <w:gridCol w:w="1928"/>
        <w:gridCol w:w="1233"/>
      </w:tblGrid>
      <w:tr w:rsidR="003E1BDD" w:rsidRPr="003E1BDD" w14:paraId="42763CF0" w14:textId="77777777" w:rsidTr="00AD45F1">
        <w:trPr>
          <w:trHeight w:val="509"/>
        </w:trPr>
        <w:tc>
          <w:tcPr>
            <w:tcW w:w="1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0A3C1" w14:textId="77777777" w:rsidR="003E1BDD" w:rsidRPr="001254A6" w:rsidRDefault="003E1BDD" w:rsidP="003E1BDD">
            <w:pPr>
              <w:overflowPunct/>
              <w:autoSpaceDE/>
              <w:autoSpaceDN/>
              <w:adjustRightInd/>
              <w:spacing w:after="0"/>
              <w:jc w:val="center"/>
              <w:textAlignment w:val="auto"/>
              <w:rPr>
                <w:rFonts w:cs="Arial"/>
                <w:sz w:val="16"/>
                <w:szCs w:val="16"/>
                <w:lang w:val="en-US" w:eastAsia="sv-SE"/>
              </w:rPr>
            </w:pPr>
          </w:p>
        </w:tc>
        <w:tc>
          <w:tcPr>
            <w:tcW w:w="4725" w:type="dxa"/>
            <w:tcBorders>
              <w:top w:val="single" w:sz="4" w:space="0" w:color="auto"/>
              <w:left w:val="nil"/>
              <w:bottom w:val="single" w:sz="4" w:space="0" w:color="auto"/>
              <w:right w:val="single" w:sz="4" w:space="0" w:color="auto"/>
            </w:tcBorders>
            <w:shd w:val="clear" w:color="auto" w:fill="auto"/>
            <w:vAlign w:val="center"/>
          </w:tcPr>
          <w:p w14:paraId="6826F156" w14:textId="77777777" w:rsidR="003E1BDD" w:rsidRPr="003E1BDD" w:rsidRDefault="003E1BDD" w:rsidP="003E1BDD">
            <w:pPr>
              <w:overflowPunct/>
              <w:autoSpaceDE/>
              <w:autoSpaceDN/>
              <w:adjustRightInd/>
              <w:spacing w:after="0"/>
              <w:jc w:val="left"/>
              <w:textAlignment w:val="auto"/>
              <w:rPr>
                <w:rFonts w:cs="Arial"/>
                <w:sz w:val="16"/>
                <w:szCs w:val="16"/>
                <w:lang w:val="en-US" w:eastAsia="sv-SE"/>
              </w:rPr>
            </w:pPr>
          </w:p>
        </w:tc>
        <w:tc>
          <w:tcPr>
            <w:tcW w:w="1928" w:type="dxa"/>
            <w:tcBorders>
              <w:top w:val="single" w:sz="4" w:space="0" w:color="auto"/>
              <w:left w:val="nil"/>
              <w:bottom w:val="single" w:sz="4" w:space="0" w:color="auto"/>
              <w:right w:val="single" w:sz="4" w:space="0" w:color="auto"/>
            </w:tcBorders>
            <w:shd w:val="clear" w:color="auto" w:fill="auto"/>
            <w:noWrap/>
            <w:vAlign w:val="center"/>
          </w:tcPr>
          <w:p w14:paraId="3905625C" w14:textId="6073C6DB" w:rsidR="003E1BDD" w:rsidRPr="003E1BDD" w:rsidRDefault="003E1BDD" w:rsidP="003E1BDD">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Value range</w:t>
            </w:r>
          </w:p>
        </w:tc>
        <w:tc>
          <w:tcPr>
            <w:tcW w:w="1233" w:type="dxa"/>
            <w:tcBorders>
              <w:top w:val="single" w:sz="4" w:space="0" w:color="auto"/>
              <w:left w:val="nil"/>
              <w:bottom w:val="single" w:sz="4" w:space="0" w:color="auto"/>
              <w:right w:val="single" w:sz="4" w:space="0" w:color="auto"/>
            </w:tcBorders>
            <w:shd w:val="clear" w:color="auto" w:fill="auto"/>
            <w:noWrap/>
            <w:vAlign w:val="center"/>
          </w:tcPr>
          <w:p w14:paraId="1E9B2F67" w14:textId="52F24E1E" w:rsidR="003E1BDD" w:rsidRPr="003E1BDD" w:rsidRDefault="003E1BDD" w:rsidP="003E1BDD">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Default value</w:t>
            </w:r>
          </w:p>
        </w:tc>
      </w:tr>
      <w:tr w:rsidR="003E1BDD" w:rsidRPr="003E1BDD" w14:paraId="264B02C0" w14:textId="77777777" w:rsidTr="00AD45F1">
        <w:trPr>
          <w:trHeight w:val="1222"/>
        </w:trPr>
        <w:tc>
          <w:tcPr>
            <w:tcW w:w="1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649A5" w14:textId="77777777" w:rsidR="003E1BDD" w:rsidRPr="003E1BDD" w:rsidRDefault="003E1BDD" w:rsidP="003E1BDD">
            <w:pPr>
              <w:overflowPunct/>
              <w:autoSpaceDE/>
              <w:autoSpaceDN/>
              <w:adjustRightInd/>
              <w:spacing w:after="0"/>
              <w:jc w:val="center"/>
              <w:textAlignment w:val="auto"/>
              <w:rPr>
                <w:rFonts w:cs="Arial"/>
                <w:sz w:val="16"/>
                <w:szCs w:val="16"/>
                <w:lang w:val="sv-SE" w:eastAsia="sv-SE"/>
              </w:rPr>
            </w:pPr>
            <w:r w:rsidRPr="003E1BDD">
              <w:rPr>
                <w:rFonts w:cs="Arial"/>
                <w:sz w:val="16"/>
                <w:szCs w:val="16"/>
                <w:lang w:val="sv-SE" w:eastAsia="sv-SE"/>
              </w:rPr>
              <w:t>TCI-States</w:t>
            </w:r>
          </w:p>
        </w:tc>
        <w:tc>
          <w:tcPr>
            <w:tcW w:w="4725" w:type="dxa"/>
            <w:tcBorders>
              <w:top w:val="single" w:sz="4" w:space="0" w:color="auto"/>
              <w:left w:val="nil"/>
              <w:bottom w:val="single" w:sz="4" w:space="0" w:color="auto"/>
              <w:right w:val="single" w:sz="4" w:space="0" w:color="auto"/>
            </w:tcBorders>
            <w:shd w:val="clear" w:color="auto" w:fill="auto"/>
            <w:vAlign w:val="center"/>
            <w:hideMark/>
          </w:tcPr>
          <w:p w14:paraId="23B3F976" w14:textId="77777777" w:rsidR="003E1BDD" w:rsidRPr="003E1BDD" w:rsidRDefault="003E1BDD" w:rsidP="003E1BDD">
            <w:pPr>
              <w:overflowPunct/>
              <w:autoSpaceDE/>
              <w:autoSpaceDN/>
              <w:adjustRightInd/>
              <w:spacing w:after="0"/>
              <w:jc w:val="left"/>
              <w:textAlignment w:val="auto"/>
              <w:rPr>
                <w:rFonts w:cs="Arial"/>
                <w:sz w:val="16"/>
                <w:szCs w:val="16"/>
                <w:lang w:val="en-US" w:eastAsia="sv-SE"/>
              </w:rPr>
            </w:pPr>
            <w:r w:rsidRPr="003E1BDD">
              <w:rPr>
                <w:rFonts w:cs="Arial"/>
                <w:sz w:val="16"/>
                <w:szCs w:val="16"/>
                <w:lang w:val="en-US" w:eastAsia="sv-SE"/>
              </w:rPr>
              <w:t xml:space="preserve">Contains Transmission Configuration Indicator (TCI) states for dynamically indicating (over DCI) a transmission configuration which includes QCL relationships </w:t>
            </w:r>
            <w:r w:rsidRPr="003E1BDD">
              <w:rPr>
                <w:rFonts w:cs="Arial"/>
                <w:color w:val="FF0000"/>
                <w:sz w:val="16"/>
                <w:szCs w:val="16"/>
                <w:lang w:val="en-US" w:eastAsia="sv-SE"/>
              </w:rPr>
              <w:t>between the DL RSs in one RS Set and the PDSCH DMRS ports</w:t>
            </w:r>
            <w:r w:rsidRPr="003E1BDD">
              <w:rPr>
                <w:rFonts w:cs="Arial"/>
                <w:sz w:val="16"/>
                <w:szCs w:val="16"/>
                <w:lang w:val="en-US" w:eastAsia="sv-SE"/>
              </w:rPr>
              <w:t xml:space="preserve">. </w:t>
            </w:r>
            <w:r w:rsidRPr="003E1BDD">
              <w:rPr>
                <w:rFonts w:cs="Arial"/>
                <w:strike/>
                <w:sz w:val="16"/>
                <w:szCs w:val="16"/>
                <w:lang w:val="en-US" w:eastAsia="sv-SE"/>
              </w:rPr>
              <w:t>between one or two RS sets and one or two DMRS port groups, respectively</w:t>
            </w:r>
          </w:p>
        </w:tc>
        <w:tc>
          <w:tcPr>
            <w:tcW w:w="1928" w:type="dxa"/>
            <w:tcBorders>
              <w:top w:val="single" w:sz="4" w:space="0" w:color="auto"/>
              <w:left w:val="nil"/>
              <w:bottom w:val="single" w:sz="4" w:space="0" w:color="auto"/>
              <w:right w:val="single" w:sz="4" w:space="0" w:color="auto"/>
            </w:tcBorders>
            <w:shd w:val="clear" w:color="auto" w:fill="auto"/>
            <w:noWrap/>
            <w:vAlign w:val="center"/>
            <w:hideMark/>
          </w:tcPr>
          <w:p w14:paraId="4A75F863" w14:textId="77777777" w:rsidR="003E1BDD" w:rsidRPr="003E1BDD" w:rsidRDefault="003E1BDD" w:rsidP="003E1BDD">
            <w:pPr>
              <w:overflowPunct/>
              <w:autoSpaceDE/>
              <w:autoSpaceDN/>
              <w:adjustRightInd/>
              <w:spacing w:after="0"/>
              <w:jc w:val="center"/>
              <w:textAlignment w:val="auto"/>
              <w:rPr>
                <w:rFonts w:cs="Arial"/>
                <w:sz w:val="16"/>
                <w:szCs w:val="16"/>
                <w:lang w:val="en-US" w:eastAsia="sv-SE"/>
              </w:rPr>
            </w:pPr>
            <w:r w:rsidRPr="003E1BDD">
              <w:rPr>
                <w:rFonts w:cs="Arial"/>
                <w:sz w:val="16"/>
                <w:szCs w:val="16"/>
                <w:lang w:val="en-US" w:eastAsia="sv-SE"/>
              </w:rPr>
              <w:t> </w:t>
            </w:r>
          </w:p>
        </w:tc>
        <w:tc>
          <w:tcPr>
            <w:tcW w:w="1233" w:type="dxa"/>
            <w:tcBorders>
              <w:top w:val="single" w:sz="4" w:space="0" w:color="auto"/>
              <w:left w:val="nil"/>
              <w:bottom w:val="single" w:sz="4" w:space="0" w:color="auto"/>
              <w:right w:val="single" w:sz="4" w:space="0" w:color="auto"/>
            </w:tcBorders>
            <w:shd w:val="clear" w:color="auto" w:fill="auto"/>
            <w:noWrap/>
            <w:vAlign w:val="center"/>
            <w:hideMark/>
          </w:tcPr>
          <w:p w14:paraId="2AC6C39C" w14:textId="77777777" w:rsidR="003E1BDD" w:rsidRPr="003E1BDD" w:rsidRDefault="003E1BDD" w:rsidP="003E1BDD">
            <w:pPr>
              <w:overflowPunct/>
              <w:autoSpaceDE/>
              <w:autoSpaceDN/>
              <w:adjustRightInd/>
              <w:spacing w:after="0"/>
              <w:jc w:val="center"/>
              <w:textAlignment w:val="auto"/>
              <w:rPr>
                <w:rFonts w:cs="Arial"/>
                <w:sz w:val="16"/>
                <w:szCs w:val="16"/>
                <w:lang w:val="en-US" w:eastAsia="sv-SE"/>
              </w:rPr>
            </w:pPr>
            <w:r w:rsidRPr="003E1BDD">
              <w:rPr>
                <w:rFonts w:cs="Arial"/>
                <w:sz w:val="16"/>
                <w:szCs w:val="16"/>
                <w:lang w:val="en-US" w:eastAsia="sv-SE"/>
              </w:rPr>
              <w:t> </w:t>
            </w:r>
          </w:p>
        </w:tc>
      </w:tr>
      <w:tr w:rsidR="003E1BDD" w:rsidRPr="003E1BDD" w14:paraId="650FE2B6" w14:textId="77777777" w:rsidTr="00AD45F1">
        <w:trPr>
          <w:trHeight w:val="407"/>
        </w:trPr>
        <w:tc>
          <w:tcPr>
            <w:tcW w:w="1719" w:type="dxa"/>
            <w:tcBorders>
              <w:top w:val="nil"/>
              <w:left w:val="single" w:sz="4" w:space="0" w:color="auto"/>
              <w:bottom w:val="single" w:sz="4" w:space="0" w:color="auto"/>
              <w:right w:val="single" w:sz="4" w:space="0" w:color="auto"/>
            </w:tcBorders>
            <w:shd w:val="clear" w:color="auto" w:fill="auto"/>
            <w:noWrap/>
            <w:vAlign w:val="center"/>
            <w:hideMark/>
          </w:tcPr>
          <w:p w14:paraId="26B559BE" w14:textId="77777777" w:rsidR="003E1BDD" w:rsidRPr="003E1BDD" w:rsidRDefault="003E1BDD" w:rsidP="003E1BDD">
            <w:pPr>
              <w:overflowPunct/>
              <w:autoSpaceDE/>
              <w:autoSpaceDN/>
              <w:adjustRightInd/>
              <w:spacing w:after="0"/>
              <w:jc w:val="center"/>
              <w:textAlignment w:val="auto"/>
              <w:rPr>
                <w:rFonts w:cs="Arial"/>
                <w:sz w:val="16"/>
                <w:szCs w:val="16"/>
                <w:lang w:val="sv-SE" w:eastAsia="sv-SE"/>
              </w:rPr>
            </w:pPr>
            <w:r w:rsidRPr="003E1BDD">
              <w:rPr>
                <w:rFonts w:cs="Arial"/>
                <w:sz w:val="16"/>
                <w:szCs w:val="16"/>
                <w:lang w:val="sv-SE" w:eastAsia="sv-SE"/>
              </w:rPr>
              <w:t>TCI-RS-SetConfig</w:t>
            </w:r>
          </w:p>
        </w:tc>
        <w:tc>
          <w:tcPr>
            <w:tcW w:w="4725" w:type="dxa"/>
            <w:tcBorders>
              <w:top w:val="nil"/>
              <w:left w:val="nil"/>
              <w:bottom w:val="single" w:sz="4" w:space="0" w:color="auto"/>
              <w:right w:val="single" w:sz="4" w:space="0" w:color="auto"/>
            </w:tcBorders>
            <w:shd w:val="clear" w:color="auto" w:fill="auto"/>
            <w:vAlign w:val="center"/>
            <w:hideMark/>
          </w:tcPr>
          <w:p w14:paraId="16408746" w14:textId="77777777" w:rsidR="003E1BDD" w:rsidRPr="003E1BDD" w:rsidRDefault="003E1BDD" w:rsidP="003E1BDD">
            <w:pPr>
              <w:overflowPunct/>
              <w:autoSpaceDE/>
              <w:autoSpaceDN/>
              <w:adjustRightInd/>
              <w:spacing w:after="0"/>
              <w:jc w:val="left"/>
              <w:textAlignment w:val="auto"/>
              <w:rPr>
                <w:rFonts w:cs="Arial"/>
                <w:sz w:val="16"/>
                <w:szCs w:val="16"/>
                <w:lang w:val="en-US" w:eastAsia="sv-SE"/>
              </w:rPr>
            </w:pPr>
            <w:r w:rsidRPr="003E1BDD">
              <w:rPr>
                <w:rFonts w:cs="Arial"/>
                <w:sz w:val="16"/>
                <w:szCs w:val="16"/>
                <w:lang w:val="en-US" w:eastAsia="sv-SE"/>
              </w:rPr>
              <w:t>Contains parameters for configuring an RS set within a TCI state, e.g., which RSs, which QCL parameters, etc.</w:t>
            </w:r>
          </w:p>
        </w:tc>
        <w:tc>
          <w:tcPr>
            <w:tcW w:w="1928" w:type="dxa"/>
            <w:tcBorders>
              <w:top w:val="nil"/>
              <w:left w:val="nil"/>
              <w:bottom w:val="single" w:sz="4" w:space="0" w:color="auto"/>
              <w:right w:val="single" w:sz="4" w:space="0" w:color="auto"/>
            </w:tcBorders>
            <w:shd w:val="clear" w:color="auto" w:fill="auto"/>
            <w:noWrap/>
            <w:vAlign w:val="center"/>
            <w:hideMark/>
          </w:tcPr>
          <w:p w14:paraId="44923337" w14:textId="77777777" w:rsidR="003E1BDD" w:rsidRPr="003E1BDD" w:rsidRDefault="003E1BDD" w:rsidP="003E1BDD">
            <w:pPr>
              <w:overflowPunct/>
              <w:autoSpaceDE/>
              <w:autoSpaceDN/>
              <w:adjustRightInd/>
              <w:spacing w:after="0"/>
              <w:jc w:val="center"/>
              <w:textAlignment w:val="auto"/>
              <w:rPr>
                <w:rFonts w:cs="Arial"/>
                <w:sz w:val="16"/>
                <w:szCs w:val="16"/>
                <w:lang w:val="en-US" w:eastAsia="sv-SE"/>
              </w:rPr>
            </w:pPr>
            <w:r w:rsidRPr="003E1BDD">
              <w:rPr>
                <w:rFonts w:cs="Arial"/>
                <w:sz w:val="16"/>
                <w:szCs w:val="16"/>
                <w:lang w:val="en-US" w:eastAsia="sv-SE"/>
              </w:rPr>
              <w:t> </w:t>
            </w:r>
          </w:p>
        </w:tc>
        <w:tc>
          <w:tcPr>
            <w:tcW w:w="1233" w:type="dxa"/>
            <w:tcBorders>
              <w:top w:val="nil"/>
              <w:left w:val="nil"/>
              <w:bottom w:val="single" w:sz="4" w:space="0" w:color="auto"/>
              <w:right w:val="single" w:sz="4" w:space="0" w:color="auto"/>
            </w:tcBorders>
            <w:shd w:val="clear" w:color="auto" w:fill="auto"/>
            <w:noWrap/>
            <w:vAlign w:val="center"/>
            <w:hideMark/>
          </w:tcPr>
          <w:p w14:paraId="37C393F5" w14:textId="77777777" w:rsidR="003E1BDD" w:rsidRPr="003E1BDD" w:rsidRDefault="003E1BDD" w:rsidP="003E1BDD">
            <w:pPr>
              <w:overflowPunct/>
              <w:autoSpaceDE/>
              <w:autoSpaceDN/>
              <w:adjustRightInd/>
              <w:spacing w:after="0"/>
              <w:jc w:val="center"/>
              <w:textAlignment w:val="auto"/>
              <w:rPr>
                <w:rFonts w:cs="Arial"/>
                <w:sz w:val="16"/>
                <w:szCs w:val="16"/>
                <w:lang w:val="en-US" w:eastAsia="sv-SE"/>
              </w:rPr>
            </w:pPr>
            <w:r w:rsidRPr="003E1BDD">
              <w:rPr>
                <w:rFonts w:cs="Arial"/>
                <w:sz w:val="16"/>
                <w:szCs w:val="16"/>
                <w:lang w:val="en-US" w:eastAsia="sv-SE"/>
              </w:rPr>
              <w:t> </w:t>
            </w:r>
          </w:p>
        </w:tc>
      </w:tr>
    </w:tbl>
    <w:p w14:paraId="34D602C6" w14:textId="77777777" w:rsidR="003E1BDD" w:rsidRPr="003E1BDD" w:rsidRDefault="003E1BDD" w:rsidP="00C354DC">
      <w:pPr>
        <w:pStyle w:val="BodyText"/>
        <w:spacing w:after="240"/>
        <w:rPr>
          <w:lang w:val="en-US"/>
        </w:rPr>
      </w:pPr>
    </w:p>
    <w:p w14:paraId="7C6337C1" w14:textId="7F36979F" w:rsidR="009712F5" w:rsidRDefault="009712F5" w:rsidP="00C354DC">
      <w:pPr>
        <w:pStyle w:val="BodyText"/>
        <w:spacing w:after="240"/>
        <w:rPr>
          <w:lang w:val="en-US"/>
        </w:rPr>
      </w:pPr>
      <w:r w:rsidRPr="009712F5">
        <w:rPr>
          <w:b/>
          <w:lang w:val="en-US"/>
        </w:rPr>
        <w:t>Proposal</w:t>
      </w:r>
    </w:p>
    <w:p w14:paraId="39B1232A" w14:textId="3BD2F030" w:rsidR="003E1BDD" w:rsidRDefault="0096116E" w:rsidP="003E1BDD">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Discuss the following open issues as they </w:t>
      </w:r>
      <w:r>
        <w:rPr>
          <w:rFonts w:ascii="Calibri" w:eastAsiaTheme="minorHAnsi" w:hAnsi="Calibri"/>
          <w:sz w:val="22"/>
          <w:szCs w:val="22"/>
          <w:lang w:val="en-US" w:eastAsia="x-none"/>
        </w:rPr>
        <w:t>may have impact on RRC signaling</w:t>
      </w:r>
    </w:p>
    <w:p w14:paraId="26552F71" w14:textId="6D334DAF" w:rsidR="0096116E" w:rsidRDefault="0096116E" w:rsidP="0096116E">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of TCI states – maximum number of states in comparison to number of bits in TCI field in DCI</w:t>
      </w:r>
    </w:p>
    <w:p w14:paraId="64383193" w14:textId="42483E84" w:rsidR="0096116E" w:rsidRDefault="0096116E" w:rsidP="0096116E">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of RS Sets within a TCI state –</w:t>
      </w:r>
      <w:r w:rsidR="00BB70F9">
        <w:rPr>
          <w:rFonts w:ascii="Calibri" w:eastAsiaTheme="minorHAnsi" w:hAnsi="Calibri"/>
          <w:sz w:val="22"/>
          <w:szCs w:val="22"/>
          <w:lang w:val="en-US" w:eastAsia="x-none"/>
        </w:rPr>
        <w:t xml:space="preserve"> allowed RSs, both DL and UL</w:t>
      </w:r>
    </w:p>
    <w:p w14:paraId="2B154F66" w14:textId="5F679105" w:rsidR="0096116E" w:rsidRDefault="0096116E" w:rsidP="0096116E">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of QCL types within a TCI state</w:t>
      </w:r>
    </w:p>
    <w:p w14:paraId="2333586A" w14:textId="3DD98F2D" w:rsidR="0096116E" w:rsidRDefault="0096116E" w:rsidP="0096116E">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Potential parameters for configuring PDSCH rate matching in a TCI state</w:t>
      </w:r>
    </w:p>
    <w:p w14:paraId="6ABE1687" w14:textId="50D0BBE0" w:rsidR="0096116E" w:rsidRPr="00BB70F9" w:rsidRDefault="0096116E" w:rsidP="00BB70F9">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of a link from a CORESET to a TCI state</w:t>
      </w:r>
    </w:p>
    <w:p w14:paraId="0E8A90E0" w14:textId="4FDE7877" w:rsidR="00C354DC" w:rsidRDefault="001254A6" w:rsidP="00C354DC">
      <w:pPr>
        <w:pStyle w:val="Heading2"/>
      </w:pPr>
      <w:r>
        <w:lastRenderedPageBreak/>
        <w:t>Beam reporting</w:t>
      </w:r>
    </w:p>
    <w:p w14:paraId="5C66C95A" w14:textId="4D2055BD" w:rsidR="00E962D8" w:rsidRDefault="00E962D8" w:rsidP="00C354DC">
      <w:pPr>
        <w:rPr>
          <w:lang w:eastAsia="x-none"/>
        </w:rPr>
      </w:pPr>
    </w:p>
    <w:tbl>
      <w:tblPr>
        <w:tblW w:w="11060" w:type="dxa"/>
        <w:tblCellMar>
          <w:left w:w="70" w:type="dxa"/>
          <w:right w:w="70" w:type="dxa"/>
        </w:tblCellMar>
        <w:tblLook w:val="04A0" w:firstRow="1" w:lastRow="0" w:firstColumn="1" w:lastColumn="0" w:noHBand="0" w:noVBand="1"/>
      </w:tblPr>
      <w:tblGrid>
        <w:gridCol w:w="2405"/>
        <w:gridCol w:w="5015"/>
        <w:gridCol w:w="2220"/>
        <w:gridCol w:w="1420"/>
      </w:tblGrid>
      <w:tr w:rsidR="00AD45F1" w:rsidRPr="00AD45F1" w14:paraId="480BF3AA" w14:textId="77777777" w:rsidTr="009D27C1">
        <w:trPr>
          <w:trHeight w:val="867"/>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5FE7E" w14:textId="763D86DE" w:rsidR="00AD45F1" w:rsidRPr="009D27C1" w:rsidRDefault="000010DE" w:rsidP="00AD45F1">
            <w:pPr>
              <w:overflowPunct/>
              <w:autoSpaceDE/>
              <w:autoSpaceDN/>
              <w:adjustRightInd/>
              <w:spacing w:after="0"/>
              <w:jc w:val="center"/>
              <w:textAlignment w:val="auto"/>
              <w:rPr>
                <w:rFonts w:cs="Arial"/>
                <w:i/>
                <w:sz w:val="16"/>
                <w:szCs w:val="16"/>
                <w:lang w:val="sv-SE" w:eastAsia="sv-SE"/>
              </w:rPr>
            </w:pPr>
            <w:r w:rsidRPr="009D27C1">
              <w:rPr>
                <w:rFonts w:cs="Arial"/>
                <w:i/>
                <w:sz w:val="16"/>
                <w:szCs w:val="16"/>
                <w:lang w:val="sv-SE" w:eastAsia="sv-SE"/>
              </w:rPr>
              <w:t>SS reporting configuration</w:t>
            </w:r>
          </w:p>
        </w:tc>
        <w:tc>
          <w:tcPr>
            <w:tcW w:w="5015" w:type="dxa"/>
            <w:tcBorders>
              <w:top w:val="single" w:sz="4" w:space="0" w:color="auto"/>
              <w:left w:val="nil"/>
              <w:bottom w:val="single" w:sz="4" w:space="0" w:color="auto"/>
              <w:right w:val="single" w:sz="4" w:space="0" w:color="auto"/>
            </w:tcBorders>
            <w:shd w:val="clear" w:color="auto" w:fill="auto"/>
            <w:vAlign w:val="center"/>
            <w:hideMark/>
          </w:tcPr>
          <w:p w14:paraId="3650E118" w14:textId="12B137C0" w:rsidR="00AD45F1" w:rsidRPr="000010DE" w:rsidRDefault="000010DE" w:rsidP="00AD45F1">
            <w:pPr>
              <w:overflowPunct/>
              <w:autoSpaceDE/>
              <w:autoSpaceDN/>
              <w:adjustRightInd/>
              <w:spacing w:after="0"/>
              <w:jc w:val="left"/>
              <w:textAlignment w:val="auto"/>
              <w:rPr>
                <w:rFonts w:cs="Arial"/>
                <w:sz w:val="16"/>
                <w:szCs w:val="16"/>
                <w:lang w:val="en-US" w:eastAsia="sv-SE"/>
              </w:rPr>
            </w:pPr>
            <w:r w:rsidRPr="000010DE">
              <w:rPr>
                <w:rFonts w:cs="Arial"/>
                <w:sz w:val="16"/>
                <w:szCs w:val="16"/>
                <w:lang w:val="en-US" w:eastAsia="sv-SE"/>
              </w:rPr>
              <w:t>SS resource setting and/or SS report settings</w:t>
            </w:r>
            <w:r w:rsidR="009D27C1">
              <w:rPr>
                <w:rFonts w:cs="Arial"/>
                <w:sz w:val="16"/>
                <w:szCs w:val="16"/>
                <w:lang w:val="en-US" w:eastAsia="sv-SE"/>
              </w:rPr>
              <w:t>. Which parameters need to be defined depends on the outcome of the discussion. If SSB becomes part of a Resource setting, small additions to the CSI framework becomes necessary.</w:t>
            </w:r>
          </w:p>
        </w:tc>
        <w:tc>
          <w:tcPr>
            <w:tcW w:w="2220" w:type="dxa"/>
            <w:tcBorders>
              <w:top w:val="single" w:sz="4" w:space="0" w:color="auto"/>
              <w:left w:val="nil"/>
              <w:bottom w:val="single" w:sz="4" w:space="0" w:color="auto"/>
              <w:right w:val="single" w:sz="4" w:space="0" w:color="auto"/>
            </w:tcBorders>
            <w:shd w:val="clear" w:color="auto" w:fill="auto"/>
            <w:noWrap/>
            <w:vAlign w:val="center"/>
            <w:hideMark/>
          </w:tcPr>
          <w:p w14:paraId="57D82DD5" w14:textId="51E77ECF" w:rsidR="00AD45F1" w:rsidRPr="007449C4" w:rsidRDefault="00AD45F1" w:rsidP="00AD45F1">
            <w:pPr>
              <w:overflowPunct/>
              <w:autoSpaceDE/>
              <w:autoSpaceDN/>
              <w:adjustRightInd/>
              <w:spacing w:after="0"/>
              <w:jc w:val="center"/>
              <w:textAlignment w:val="auto"/>
              <w:rPr>
                <w:rFonts w:cs="Arial"/>
                <w:color w:val="FF0000"/>
                <w:sz w:val="16"/>
                <w:szCs w:val="16"/>
                <w:lang w:val="en-US" w:eastAsia="sv-SE"/>
              </w:rPr>
            </w:pP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1B633599" w14:textId="56AE2AC8" w:rsidR="00AD45F1" w:rsidRPr="007449C4" w:rsidRDefault="00AD45F1" w:rsidP="00AD45F1">
            <w:pPr>
              <w:overflowPunct/>
              <w:autoSpaceDE/>
              <w:autoSpaceDN/>
              <w:adjustRightInd/>
              <w:spacing w:after="0"/>
              <w:jc w:val="center"/>
              <w:textAlignment w:val="auto"/>
              <w:rPr>
                <w:rFonts w:cs="Arial"/>
                <w:color w:val="FF0000"/>
                <w:sz w:val="16"/>
                <w:szCs w:val="16"/>
                <w:lang w:val="en-US" w:eastAsia="sv-SE"/>
              </w:rPr>
            </w:pPr>
          </w:p>
        </w:tc>
      </w:tr>
    </w:tbl>
    <w:p w14:paraId="6931481E" w14:textId="16751A13" w:rsidR="008B7D86" w:rsidRDefault="008B7D86" w:rsidP="00C354DC">
      <w:pPr>
        <w:rPr>
          <w:lang w:val="en-US" w:eastAsia="x-none"/>
        </w:rPr>
      </w:pPr>
    </w:p>
    <w:p w14:paraId="0422870E" w14:textId="77777777" w:rsidR="0096116E" w:rsidRDefault="0096116E" w:rsidP="0096116E">
      <w:pPr>
        <w:pStyle w:val="BodyText"/>
        <w:spacing w:after="240"/>
        <w:rPr>
          <w:lang w:val="en-US"/>
        </w:rPr>
      </w:pPr>
      <w:r w:rsidRPr="009712F5">
        <w:rPr>
          <w:b/>
          <w:lang w:val="en-US"/>
        </w:rPr>
        <w:t>Proposal</w:t>
      </w:r>
    </w:p>
    <w:p w14:paraId="2576099F" w14:textId="269E5484" w:rsidR="0096116E" w:rsidRPr="0096116E" w:rsidRDefault="0096116E" w:rsidP="00C354DC">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Discuss the following open issues as they may have impact on RRC signaling</w:t>
      </w:r>
    </w:p>
    <w:p w14:paraId="459546E3" w14:textId="414ED60D" w:rsidR="0096116E" w:rsidRDefault="0096116E" w:rsidP="00C354DC">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of beam management reporting on SSB – parameters indicating subset of SSBs on which to report + resource identities</w:t>
      </w:r>
    </w:p>
    <w:p w14:paraId="08769248" w14:textId="617F416D" w:rsidR="0096116E" w:rsidRPr="0096116E" w:rsidRDefault="0096116E" w:rsidP="00C354DC">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contained in a report setting or a resource setting</w:t>
      </w:r>
    </w:p>
    <w:p w14:paraId="48FC81C6" w14:textId="77777777" w:rsidR="0096116E" w:rsidRDefault="0096116E" w:rsidP="00C354DC">
      <w:pPr>
        <w:rPr>
          <w:lang w:val="en-US" w:eastAsia="x-none"/>
        </w:rPr>
      </w:pPr>
    </w:p>
    <w:p w14:paraId="41D1839E" w14:textId="12FFE41B" w:rsidR="001254A6" w:rsidRDefault="001254A6" w:rsidP="001254A6">
      <w:pPr>
        <w:pStyle w:val="Heading2"/>
      </w:pPr>
      <w:r>
        <w:t>Beam recovery</w:t>
      </w:r>
    </w:p>
    <w:tbl>
      <w:tblPr>
        <w:tblStyle w:val="TableGrid"/>
        <w:tblW w:w="0" w:type="auto"/>
        <w:tblLayout w:type="fixed"/>
        <w:tblLook w:val="04A0" w:firstRow="1" w:lastRow="0" w:firstColumn="1" w:lastColumn="0" w:noHBand="0" w:noVBand="1"/>
      </w:tblPr>
      <w:tblGrid>
        <w:gridCol w:w="3167"/>
        <w:gridCol w:w="3916"/>
        <w:gridCol w:w="1559"/>
        <w:gridCol w:w="987"/>
      </w:tblGrid>
      <w:tr w:rsidR="001254A6" w14:paraId="10EF49B1" w14:textId="77777777" w:rsidTr="007449C4">
        <w:tc>
          <w:tcPr>
            <w:tcW w:w="3167" w:type="dxa"/>
          </w:tcPr>
          <w:p w14:paraId="510423D3" w14:textId="77777777" w:rsidR="001254A6" w:rsidRDefault="001254A6" w:rsidP="001254A6"/>
        </w:tc>
        <w:tc>
          <w:tcPr>
            <w:tcW w:w="3916" w:type="dxa"/>
          </w:tcPr>
          <w:p w14:paraId="26DF35A3" w14:textId="77777777" w:rsidR="001254A6" w:rsidRDefault="001254A6" w:rsidP="001254A6"/>
        </w:tc>
        <w:tc>
          <w:tcPr>
            <w:tcW w:w="1559" w:type="dxa"/>
          </w:tcPr>
          <w:p w14:paraId="5C197BD7" w14:textId="77777777" w:rsidR="001254A6" w:rsidRDefault="001254A6" w:rsidP="001254A6"/>
        </w:tc>
        <w:tc>
          <w:tcPr>
            <w:tcW w:w="987" w:type="dxa"/>
          </w:tcPr>
          <w:p w14:paraId="58B0C7D6" w14:textId="77777777" w:rsidR="001254A6" w:rsidRDefault="001254A6" w:rsidP="001254A6"/>
        </w:tc>
      </w:tr>
      <w:tr w:rsidR="001254A6" w14:paraId="43098E17" w14:textId="77777777" w:rsidTr="007449C4">
        <w:tc>
          <w:tcPr>
            <w:tcW w:w="3167" w:type="dxa"/>
          </w:tcPr>
          <w:p w14:paraId="46EAC2D3" w14:textId="7E5C62E7" w:rsidR="001254A6" w:rsidRPr="009D27C1" w:rsidRDefault="001254A6" w:rsidP="001254A6">
            <w:pPr>
              <w:rPr>
                <w:sz w:val="16"/>
              </w:rPr>
            </w:pPr>
            <w:r w:rsidRPr="009D27C1">
              <w:rPr>
                <w:sz w:val="16"/>
              </w:rPr>
              <w:t>Candidate-beam-identification-RS</w:t>
            </w:r>
          </w:p>
        </w:tc>
        <w:tc>
          <w:tcPr>
            <w:tcW w:w="3916" w:type="dxa"/>
          </w:tcPr>
          <w:p w14:paraId="3740E2FB" w14:textId="4D6FEAFB" w:rsidR="001254A6" w:rsidRPr="009D27C1" w:rsidRDefault="001254A6" w:rsidP="001254A6">
            <w:pPr>
              <w:rPr>
                <w:sz w:val="16"/>
              </w:rPr>
            </w:pPr>
            <w:r w:rsidRPr="009D27C1">
              <w:rPr>
                <w:sz w:val="16"/>
              </w:rPr>
              <w:t xml:space="preserve">Which RS is used for candidate beam </w:t>
            </w:r>
            <w:r w:rsidR="000010DE" w:rsidRPr="009D27C1">
              <w:rPr>
                <w:sz w:val="16"/>
              </w:rPr>
              <w:t>identification</w:t>
            </w:r>
          </w:p>
        </w:tc>
        <w:tc>
          <w:tcPr>
            <w:tcW w:w="1559" w:type="dxa"/>
          </w:tcPr>
          <w:p w14:paraId="4F509837" w14:textId="49B5DFF2" w:rsidR="001254A6" w:rsidRPr="009D27C1" w:rsidRDefault="001254A6" w:rsidP="001254A6">
            <w:pPr>
              <w:rPr>
                <w:sz w:val="16"/>
              </w:rPr>
            </w:pPr>
            <w:r w:rsidRPr="009D27C1">
              <w:rPr>
                <w:sz w:val="16"/>
              </w:rPr>
              <w:t>SS block, CSI-RS</w:t>
            </w:r>
          </w:p>
        </w:tc>
        <w:tc>
          <w:tcPr>
            <w:tcW w:w="987" w:type="dxa"/>
          </w:tcPr>
          <w:p w14:paraId="61EC586F" w14:textId="77777777" w:rsidR="001254A6" w:rsidRDefault="001254A6" w:rsidP="001254A6"/>
        </w:tc>
      </w:tr>
      <w:tr w:rsidR="001254A6" w14:paraId="5A6B34E4" w14:textId="77777777" w:rsidTr="007449C4">
        <w:tc>
          <w:tcPr>
            <w:tcW w:w="3167" w:type="dxa"/>
          </w:tcPr>
          <w:p w14:paraId="3D27C18F" w14:textId="711BC4D1" w:rsidR="001254A6" w:rsidRPr="009D27C1" w:rsidRDefault="001254A6" w:rsidP="001254A6">
            <w:pPr>
              <w:rPr>
                <w:i/>
                <w:sz w:val="16"/>
              </w:rPr>
            </w:pPr>
            <w:r w:rsidRPr="009D27C1">
              <w:rPr>
                <w:i/>
                <w:sz w:val="16"/>
              </w:rPr>
              <w:t>Beam recovery request configuration</w:t>
            </w:r>
          </w:p>
        </w:tc>
        <w:tc>
          <w:tcPr>
            <w:tcW w:w="3916" w:type="dxa"/>
          </w:tcPr>
          <w:p w14:paraId="39394DA3" w14:textId="37D53F66" w:rsidR="001254A6" w:rsidRPr="009D27C1" w:rsidRDefault="001254A6" w:rsidP="001254A6">
            <w:pPr>
              <w:rPr>
                <w:sz w:val="16"/>
              </w:rPr>
            </w:pPr>
            <w:r w:rsidRPr="009D27C1">
              <w:rPr>
                <w:sz w:val="16"/>
              </w:rPr>
              <w:t>Configuration of recovery request. When PRACH is used to transmit the beam recovery request, i</w:t>
            </w:r>
            <w:r w:rsidR="000010DE" w:rsidRPr="009D27C1">
              <w:rPr>
                <w:sz w:val="16"/>
              </w:rPr>
              <w:t>t will probably be similar to the RACH configuration</w:t>
            </w:r>
            <w:r w:rsidRPr="009D27C1">
              <w:rPr>
                <w:sz w:val="16"/>
              </w:rPr>
              <w:t xml:space="preserve"> </w:t>
            </w:r>
          </w:p>
        </w:tc>
        <w:tc>
          <w:tcPr>
            <w:tcW w:w="1559" w:type="dxa"/>
          </w:tcPr>
          <w:p w14:paraId="66643304" w14:textId="012748DD" w:rsidR="001254A6" w:rsidRPr="009D27C1" w:rsidRDefault="000010DE" w:rsidP="001254A6">
            <w:pPr>
              <w:rPr>
                <w:sz w:val="16"/>
              </w:rPr>
            </w:pPr>
            <w:r w:rsidRPr="009D27C1">
              <w:rPr>
                <w:sz w:val="16"/>
              </w:rPr>
              <w:t>Several parameters</w:t>
            </w:r>
          </w:p>
        </w:tc>
        <w:tc>
          <w:tcPr>
            <w:tcW w:w="987" w:type="dxa"/>
          </w:tcPr>
          <w:p w14:paraId="2D060143" w14:textId="77777777" w:rsidR="001254A6" w:rsidRDefault="001254A6" w:rsidP="001254A6"/>
        </w:tc>
      </w:tr>
      <w:tr w:rsidR="000010DE" w14:paraId="253175D0" w14:textId="77777777" w:rsidTr="007449C4">
        <w:tc>
          <w:tcPr>
            <w:tcW w:w="3167" w:type="dxa"/>
          </w:tcPr>
          <w:p w14:paraId="5BF02C5E" w14:textId="1912E7E3" w:rsidR="000010DE" w:rsidRPr="009D27C1" w:rsidRDefault="000010DE" w:rsidP="001254A6">
            <w:pPr>
              <w:rPr>
                <w:i/>
                <w:sz w:val="16"/>
              </w:rPr>
            </w:pPr>
            <w:r w:rsidRPr="009D27C1">
              <w:rPr>
                <w:i/>
                <w:sz w:val="16"/>
              </w:rPr>
              <w:t>Parameters to control beam failure declaration</w:t>
            </w:r>
          </w:p>
        </w:tc>
        <w:tc>
          <w:tcPr>
            <w:tcW w:w="3916" w:type="dxa"/>
          </w:tcPr>
          <w:p w14:paraId="27E2E865" w14:textId="5E9806FA" w:rsidR="000010DE" w:rsidRPr="009D27C1" w:rsidRDefault="000010DE" w:rsidP="001254A6">
            <w:pPr>
              <w:rPr>
                <w:sz w:val="16"/>
              </w:rPr>
            </w:pPr>
            <w:r w:rsidRPr="009D27C1">
              <w:rPr>
                <w:sz w:val="16"/>
              </w:rPr>
              <w:t>Any parameters to control beam monitoring. Will depend on choice of quality measure</w:t>
            </w:r>
          </w:p>
        </w:tc>
        <w:tc>
          <w:tcPr>
            <w:tcW w:w="1559" w:type="dxa"/>
          </w:tcPr>
          <w:p w14:paraId="46FA20CA" w14:textId="77777777" w:rsidR="000010DE" w:rsidRPr="009D27C1" w:rsidRDefault="000010DE" w:rsidP="001254A6">
            <w:pPr>
              <w:rPr>
                <w:sz w:val="16"/>
              </w:rPr>
            </w:pPr>
          </w:p>
        </w:tc>
        <w:tc>
          <w:tcPr>
            <w:tcW w:w="987" w:type="dxa"/>
          </w:tcPr>
          <w:p w14:paraId="04C8C4C5" w14:textId="77777777" w:rsidR="000010DE" w:rsidRDefault="000010DE" w:rsidP="001254A6"/>
        </w:tc>
      </w:tr>
    </w:tbl>
    <w:p w14:paraId="7DDE8EEF" w14:textId="42EF73DB" w:rsidR="001254A6" w:rsidRDefault="001254A6" w:rsidP="001254A6"/>
    <w:p w14:paraId="773C765B" w14:textId="4E7F8E24" w:rsidR="00027E7A" w:rsidRDefault="00993A02" w:rsidP="00993A02">
      <w:pPr>
        <w:pStyle w:val="ListParagraph"/>
        <w:numPr>
          <w:ilvl w:val="0"/>
          <w:numId w:val="21"/>
        </w:numPr>
      </w:pPr>
      <w:r>
        <w:t>A number of open issues remain that require further discussion before the impact on RRC can be established</w:t>
      </w:r>
    </w:p>
    <w:p w14:paraId="0E7CE135" w14:textId="56926F2E" w:rsidR="00993A02" w:rsidRDefault="00993A02" w:rsidP="00993A02"/>
    <w:p w14:paraId="4AC0100D" w14:textId="7FD94AD6" w:rsidR="00993A02" w:rsidRDefault="00993A02" w:rsidP="00993A02">
      <w:pPr>
        <w:pStyle w:val="BodyText"/>
        <w:spacing w:after="240"/>
        <w:rPr>
          <w:b/>
          <w:lang w:val="en-US"/>
        </w:rPr>
      </w:pPr>
      <w:r w:rsidRPr="009712F5">
        <w:rPr>
          <w:b/>
          <w:lang w:val="en-US"/>
        </w:rPr>
        <w:t>Proposal</w:t>
      </w:r>
    </w:p>
    <w:p w14:paraId="2C73B740" w14:textId="77777777" w:rsidR="00993A02" w:rsidRDefault="00993A02" w:rsidP="00993A02">
      <w:pPr>
        <w:pStyle w:val="BodyText"/>
        <w:numPr>
          <w:ilvl w:val="0"/>
          <w:numId w:val="21"/>
        </w:numPr>
        <w:spacing w:after="0"/>
        <w:rPr>
          <w:lang w:val="en-US"/>
        </w:rPr>
      </w:pPr>
      <w:r>
        <w:rPr>
          <w:lang w:val="en-US"/>
        </w:rPr>
        <w:t>Continue to discuss the following</w:t>
      </w:r>
    </w:p>
    <w:p w14:paraId="38C81BB1" w14:textId="77777777" w:rsidR="00993A02" w:rsidRDefault="00993A02" w:rsidP="00993A02">
      <w:pPr>
        <w:pStyle w:val="BodyText"/>
        <w:numPr>
          <w:ilvl w:val="1"/>
          <w:numId w:val="21"/>
        </w:numPr>
        <w:spacing w:after="0"/>
        <w:rPr>
          <w:rFonts w:ascii="Calibri" w:eastAsiaTheme="minorHAnsi" w:hAnsi="Calibri"/>
          <w:sz w:val="22"/>
          <w:szCs w:val="22"/>
          <w:lang w:val="en-US" w:eastAsia="x-none"/>
        </w:rPr>
      </w:pPr>
      <w:r w:rsidRPr="00993A02">
        <w:rPr>
          <w:rFonts w:ascii="Calibri" w:eastAsiaTheme="minorHAnsi" w:hAnsi="Calibri"/>
          <w:sz w:val="22"/>
          <w:szCs w:val="22"/>
          <w:lang w:val="en-US" w:eastAsia="x-none"/>
        </w:rPr>
        <w:t>C</w:t>
      </w:r>
      <w:r>
        <w:rPr>
          <w:rFonts w:ascii="Calibri" w:eastAsiaTheme="minorHAnsi" w:hAnsi="Calibri"/>
          <w:sz w:val="22"/>
          <w:szCs w:val="22"/>
          <w:lang w:val="en-US" w:eastAsia="x-none"/>
        </w:rPr>
        <w:t>andidate beam selection RS: CSI-RS or SS block</w:t>
      </w:r>
    </w:p>
    <w:p w14:paraId="06A1248B" w14:textId="77777777" w:rsidR="00993A02" w:rsidRDefault="00993A02" w:rsidP="00993A02">
      <w:pPr>
        <w:pStyle w:val="BodyText"/>
        <w:numPr>
          <w:ilvl w:val="2"/>
          <w:numId w:val="21"/>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Not clear yet if this will be configurable</w:t>
      </w:r>
    </w:p>
    <w:p w14:paraId="6DCEEC45" w14:textId="77777777" w:rsidR="00993A02" w:rsidRDefault="00027E7A" w:rsidP="00993A02">
      <w:pPr>
        <w:pStyle w:val="BodyText"/>
        <w:numPr>
          <w:ilvl w:val="1"/>
          <w:numId w:val="21"/>
        </w:numPr>
        <w:spacing w:after="0"/>
        <w:rPr>
          <w:rFonts w:ascii="Calibri" w:eastAsiaTheme="minorHAnsi" w:hAnsi="Calibri"/>
          <w:sz w:val="22"/>
          <w:szCs w:val="22"/>
          <w:lang w:val="en-US" w:eastAsia="x-none"/>
        </w:rPr>
      </w:pPr>
      <w:r w:rsidRPr="00993A02">
        <w:rPr>
          <w:rFonts w:ascii="Calibri" w:eastAsiaTheme="minorHAnsi" w:hAnsi="Calibri"/>
          <w:sz w:val="22"/>
          <w:szCs w:val="22"/>
          <w:lang w:val="en-US" w:eastAsia="x-none"/>
        </w:rPr>
        <w:t xml:space="preserve">Beam </w:t>
      </w:r>
      <w:r w:rsidR="00993A02">
        <w:rPr>
          <w:rFonts w:ascii="Calibri" w:eastAsiaTheme="minorHAnsi" w:hAnsi="Calibri"/>
          <w:sz w:val="22"/>
          <w:szCs w:val="22"/>
          <w:lang w:val="en-US" w:eastAsia="x-none"/>
        </w:rPr>
        <w:t>recovery request configuration</w:t>
      </w:r>
    </w:p>
    <w:p w14:paraId="15C7A9EA" w14:textId="01DEF705" w:rsidR="00993A02" w:rsidRPr="00993A02" w:rsidRDefault="00993A02" w:rsidP="00993A02">
      <w:pPr>
        <w:pStyle w:val="BodyText"/>
        <w:numPr>
          <w:ilvl w:val="2"/>
          <w:numId w:val="21"/>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F</w:t>
      </w:r>
      <w:r w:rsidR="00027E7A" w:rsidRPr="00993A02">
        <w:rPr>
          <w:rFonts w:ascii="Calibri" w:eastAsiaTheme="minorHAnsi" w:hAnsi="Calibri"/>
          <w:sz w:val="22"/>
          <w:szCs w:val="22"/>
          <w:lang w:val="en-US" w:eastAsia="x-none"/>
        </w:rPr>
        <w:t xml:space="preserve">or PRACH, this should be similar parameters as for RACH, but </w:t>
      </w:r>
      <w:r>
        <w:rPr>
          <w:rFonts w:ascii="Calibri" w:eastAsiaTheme="minorHAnsi" w:hAnsi="Calibri"/>
          <w:sz w:val="22"/>
          <w:szCs w:val="22"/>
          <w:lang w:val="en-US" w:eastAsia="x-none"/>
        </w:rPr>
        <w:t>that is not yet settled yet either</w:t>
      </w:r>
      <w:bookmarkStart w:id="0" w:name="_GoBack"/>
      <w:bookmarkEnd w:id="0"/>
    </w:p>
    <w:p w14:paraId="7806CEAB" w14:textId="77777777" w:rsidR="00993A02" w:rsidRDefault="00027E7A" w:rsidP="00993A02">
      <w:pPr>
        <w:pStyle w:val="BodyText"/>
        <w:numPr>
          <w:ilvl w:val="1"/>
          <w:numId w:val="21"/>
        </w:numPr>
        <w:spacing w:after="0"/>
        <w:rPr>
          <w:rFonts w:ascii="Calibri" w:eastAsiaTheme="minorHAnsi" w:hAnsi="Calibri"/>
          <w:sz w:val="22"/>
          <w:szCs w:val="22"/>
          <w:lang w:val="en-US" w:eastAsia="x-none"/>
        </w:rPr>
      </w:pPr>
      <w:r w:rsidRPr="00993A02">
        <w:rPr>
          <w:rFonts w:ascii="Calibri" w:eastAsiaTheme="minorHAnsi" w:hAnsi="Calibri"/>
          <w:sz w:val="22"/>
          <w:szCs w:val="22"/>
          <w:lang w:val="en-US" w:eastAsia="x-none"/>
        </w:rPr>
        <w:t>Parameters to control b</w:t>
      </w:r>
      <w:r w:rsidR="00993A02">
        <w:rPr>
          <w:rFonts w:ascii="Calibri" w:eastAsiaTheme="minorHAnsi" w:hAnsi="Calibri"/>
          <w:sz w:val="22"/>
          <w:szCs w:val="22"/>
          <w:lang w:val="en-US" w:eastAsia="x-none"/>
        </w:rPr>
        <w:t>eam failure detection</w:t>
      </w:r>
    </w:p>
    <w:p w14:paraId="3A282A67" w14:textId="64788B50" w:rsidR="00993A02" w:rsidRPr="00993A02" w:rsidRDefault="00993A02" w:rsidP="00993A02">
      <w:pPr>
        <w:pStyle w:val="BodyText"/>
        <w:numPr>
          <w:ilvl w:val="2"/>
          <w:numId w:val="21"/>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depends on i</w:t>
      </w:r>
      <w:r w:rsidR="00027E7A" w:rsidRPr="00993A02">
        <w:rPr>
          <w:rFonts w:ascii="Calibri" w:eastAsiaTheme="minorHAnsi" w:hAnsi="Calibri"/>
          <w:sz w:val="22"/>
          <w:szCs w:val="22"/>
          <w:lang w:val="en-US" w:eastAsia="x-none"/>
        </w:rPr>
        <w:t xml:space="preserve">f it is RSRP or “BLER of hypothetical PDCCH”, </w:t>
      </w:r>
    </w:p>
    <w:p w14:paraId="7452B548" w14:textId="39C97464" w:rsidR="00220B93" w:rsidRPr="00993A02" w:rsidRDefault="00993A02" w:rsidP="00220B93">
      <w:pPr>
        <w:pStyle w:val="BodyText"/>
        <w:numPr>
          <w:ilvl w:val="1"/>
          <w:numId w:val="21"/>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If beam recovery based on </w:t>
      </w:r>
      <w:r w:rsidR="00027E7A" w:rsidRPr="00993A02">
        <w:rPr>
          <w:rFonts w:ascii="Calibri" w:eastAsiaTheme="minorHAnsi" w:hAnsi="Calibri"/>
          <w:sz w:val="22"/>
          <w:szCs w:val="22"/>
          <w:lang w:val="en-US" w:eastAsia="x-none"/>
        </w:rPr>
        <w:t xml:space="preserve">PUCCH </w:t>
      </w:r>
      <w:r>
        <w:rPr>
          <w:rFonts w:ascii="Calibri" w:eastAsiaTheme="minorHAnsi" w:hAnsi="Calibri"/>
          <w:sz w:val="22"/>
          <w:szCs w:val="22"/>
          <w:lang w:val="en-US" w:eastAsia="x-none"/>
        </w:rPr>
        <w:t>is supported, then configuration parameters will need to be discussed</w:t>
      </w:r>
    </w:p>
    <w:sectPr w:rsidR="00220B93" w:rsidRPr="00993A0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AFD97" w14:textId="77777777" w:rsidR="004339AA" w:rsidRDefault="004339AA">
      <w:r>
        <w:separator/>
      </w:r>
    </w:p>
  </w:endnote>
  <w:endnote w:type="continuationSeparator" w:id="0">
    <w:p w14:paraId="5E94EFB3" w14:textId="77777777" w:rsidR="004339AA" w:rsidRDefault="0043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716A03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3A0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3A0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A8F7C" w14:textId="77777777" w:rsidR="004339AA" w:rsidRDefault="004339AA">
      <w:r>
        <w:separator/>
      </w:r>
    </w:p>
  </w:footnote>
  <w:footnote w:type="continuationSeparator" w:id="0">
    <w:p w14:paraId="7A168C9D" w14:textId="77777777" w:rsidR="004339AA" w:rsidRDefault="00433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AA2E0E"/>
    <w:multiLevelType w:val="hybridMultilevel"/>
    <w:tmpl w:val="58A67542"/>
    <w:lvl w:ilvl="0" w:tplc="0E3EC55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E1E16"/>
    <w:multiLevelType w:val="hybridMultilevel"/>
    <w:tmpl w:val="DDEC4660"/>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8414F"/>
    <w:multiLevelType w:val="multilevel"/>
    <w:tmpl w:val="82406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C44690"/>
    <w:multiLevelType w:val="hybridMultilevel"/>
    <w:tmpl w:val="1D686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1"/>
  </w:num>
  <w:num w:numId="4">
    <w:abstractNumId w:val="12"/>
  </w:num>
  <w:num w:numId="5">
    <w:abstractNumId w:val="7"/>
  </w:num>
  <w:num w:numId="6">
    <w:abstractNumId w:val="13"/>
  </w:num>
  <w:num w:numId="7">
    <w:abstractNumId w:val="17"/>
  </w:num>
  <w:num w:numId="8">
    <w:abstractNumId w:val="9"/>
  </w:num>
  <w:num w:numId="9">
    <w:abstractNumId w:val="16"/>
  </w:num>
  <w:num w:numId="10">
    <w:abstractNumId w:val="1"/>
  </w:num>
  <w:num w:numId="11">
    <w:abstractNumId w:val="3"/>
  </w:num>
  <w:num w:numId="12">
    <w:abstractNumId w:val="6"/>
  </w:num>
  <w:num w:numId="13">
    <w:abstractNumId w:val="8"/>
  </w:num>
  <w:num w:numId="14">
    <w:abstractNumId w:val="10"/>
  </w:num>
  <w:num w:numId="15">
    <w:abstractNumId w:val="5"/>
  </w:num>
  <w:num w:numId="16">
    <w:abstractNumId w:val="19"/>
  </w:num>
  <w:num w:numId="17">
    <w:abstractNumId w:val="4"/>
  </w:num>
  <w:num w:numId="18">
    <w:abstractNumId w:val="14"/>
  </w:num>
  <w:num w:numId="19">
    <w:abstractNumId w:val="18"/>
  </w:num>
  <w:num w:numId="20">
    <w:abstractNumId w:val="2"/>
    <w:lvlOverride w:ilvl="0"/>
    <w:lvlOverride w:ilvl="1"/>
    <w:lvlOverride w:ilvl="2"/>
    <w:lvlOverride w:ilvl="3"/>
    <w:lvlOverride w:ilvl="4"/>
    <w:lvlOverride w:ilvl="5"/>
    <w:lvlOverride w:ilvl="6"/>
    <w:lvlOverride w:ilvl="7"/>
    <w:lvlOverride w:ilvl="8"/>
  </w:num>
  <w:num w:numId="2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10DE"/>
    <w:rsid w:val="00002A37"/>
    <w:rsid w:val="00006446"/>
    <w:rsid w:val="00006896"/>
    <w:rsid w:val="00007CDC"/>
    <w:rsid w:val="00011B28"/>
    <w:rsid w:val="00015D15"/>
    <w:rsid w:val="0002531D"/>
    <w:rsid w:val="0002564D"/>
    <w:rsid w:val="00025ECA"/>
    <w:rsid w:val="00027E7A"/>
    <w:rsid w:val="000325B8"/>
    <w:rsid w:val="00033CCB"/>
    <w:rsid w:val="000343A3"/>
    <w:rsid w:val="00034C15"/>
    <w:rsid w:val="00036889"/>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6F2"/>
    <w:rsid w:val="0008751B"/>
    <w:rsid w:val="0009009F"/>
    <w:rsid w:val="0009031B"/>
    <w:rsid w:val="00091557"/>
    <w:rsid w:val="000924C1"/>
    <w:rsid w:val="000924F0"/>
    <w:rsid w:val="00093474"/>
    <w:rsid w:val="0009510F"/>
    <w:rsid w:val="000A0B1C"/>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E3"/>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54A6"/>
    <w:rsid w:val="00126B4A"/>
    <w:rsid w:val="00130436"/>
    <w:rsid w:val="00131E5C"/>
    <w:rsid w:val="00132FD0"/>
    <w:rsid w:val="001344C0"/>
    <w:rsid w:val="001346FA"/>
    <w:rsid w:val="00135252"/>
    <w:rsid w:val="00137AB5"/>
    <w:rsid w:val="00137F0B"/>
    <w:rsid w:val="00140596"/>
    <w:rsid w:val="00150F31"/>
    <w:rsid w:val="00151E23"/>
    <w:rsid w:val="001521A7"/>
    <w:rsid w:val="001526E0"/>
    <w:rsid w:val="001551B5"/>
    <w:rsid w:val="00163A2A"/>
    <w:rsid w:val="001659C1"/>
    <w:rsid w:val="00166209"/>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0B93"/>
    <w:rsid w:val="00221CBF"/>
    <w:rsid w:val="002224DB"/>
    <w:rsid w:val="00223FCB"/>
    <w:rsid w:val="0022502A"/>
    <w:rsid w:val="002252C3"/>
    <w:rsid w:val="00225C54"/>
    <w:rsid w:val="00230765"/>
    <w:rsid w:val="002319E4"/>
    <w:rsid w:val="00235632"/>
    <w:rsid w:val="0023581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4F54"/>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34F0"/>
    <w:rsid w:val="003C7806"/>
    <w:rsid w:val="003D109F"/>
    <w:rsid w:val="003D2478"/>
    <w:rsid w:val="003D3C45"/>
    <w:rsid w:val="003D5B1F"/>
    <w:rsid w:val="003D77B0"/>
    <w:rsid w:val="003E15FA"/>
    <w:rsid w:val="003E1BDD"/>
    <w:rsid w:val="003E3148"/>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39AA"/>
    <w:rsid w:val="00437447"/>
    <w:rsid w:val="00441A92"/>
    <w:rsid w:val="00444F56"/>
    <w:rsid w:val="00446488"/>
    <w:rsid w:val="004517AA"/>
    <w:rsid w:val="00452CAC"/>
    <w:rsid w:val="00453D58"/>
    <w:rsid w:val="00457565"/>
    <w:rsid w:val="00457B71"/>
    <w:rsid w:val="004630BF"/>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224F"/>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1F23"/>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3458"/>
    <w:rsid w:val="006741F2"/>
    <w:rsid w:val="00674CC3"/>
    <w:rsid w:val="00675C72"/>
    <w:rsid w:val="006771F9"/>
    <w:rsid w:val="006776D7"/>
    <w:rsid w:val="00680E8A"/>
    <w:rsid w:val="00681003"/>
    <w:rsid w:val="0068109B"/>
    <w:rsid w:val="006817C9"/>
    <w:rsid w:val="00683ECE"/>
    <w:rsid w:val="0068756A"/>
    <w:rsid w:val="00694480"/>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3F46"/>
    <w:rsid w:val="007445A0"/>
    <w:rsid w:val="007449C4"/>
    <w:rsid w:val="00744BC7"/>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76AC"/>
    <w:rsid w:val="00843433"/>
    <w:rsid w:val="00843C1E"/>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2FDC"/>
    <w:rsid w:val="008A30AC"/>
    <w:rsid w:val="008A44B8"/>
    <w:rsid w:val="008A51A8"/>
    <w:rsid w:val="008A54C7"/>
    <w:rsid w:val="008A77D8"/>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160"/>
    <w:rsid w:val="009139D9"/>
    <w:rsid w:val="00914AD8"/>
    <w:rsid w:val="00916079"/>
    <w:rsid w:val="00917CE9"/>
    <w:rsid w:val="00920BF2"/>
    <w:rsid w:val="00922010"/>
    <w:rsid w:val="00931BD9"/>
    <w:rsid w:val="009368F3"/>
    <w:rsid w:val="00941636"/>
    <w:rsid w:val="00943742"/>
    <w:rsid w:val="00945C05"/>
    <w:rsid w:val="00946945"/>
    <w:rsid w:val="00947713"/>
    <w:rsid w:val="009507EC"/>
    <w:rsid w:val="00950DE7"/>
    <w:rsid w:val="00953920"/>
    <w:rsid w:val="00953D47"/>
    <w:rsid w:val="0095681E"/>
    <w:rsid w:val="009572D4"/>
    <w:rsid w:val="0096116E"/>
    <w:rsid w:val="00961921"/>
    <w:rsid w:val="009635AA"/>
    <w:rsid w:val="0096430A"/>
    <w:rsid w:val="0096554B"/>
    <w:rsid w:val="0096584A"/>
    <w:rsid w:val="009712F5"/>
    <w:rsid w:val="00971F08"/>
    <w:rsid w:val="0097603D"/>
    <w:rsid w:val="00976949"/>
    <w:rsid w:val="00980477"/>
    <w:rsid w:val="00985253"/>
    <w:rsid w:val="009853B3"/>
    <w:rsid w:val="00986A3A"/>
    <w:rsid w:val="009901CF"/>
    <w:rsid w:val="00990630"/>
    <w:rsid w:val="00991761"/>
    <w:rsid w:val="00993A02"/>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27C1"/>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2C45"/>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5F1"/>
    <w:rsid w:val="00AD4A5A"/>
    <w:rsid w:val="00AE0621"/>
    <w:rsid w:val="00AE27AC"/>
    <w:rsid w:val="00AE2834"/>
    <w:rsid w:val="00AE40E0"/>
    <w:rsid w:val="00AE4DBA"/>
    <w:rsid w:val="00AE4F07"/>
    <w:rsid w:val="00AF1C5D"/>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283E"/>
    <w:rsid w:val="00B45A52"/>
    <w:rsid w:val="00B46175"/>
    <w:rsid w:val="00B52BA1"/>
    <w:rsid w:val="00B6188F"/>
    <w:rsid w:val="00B664C7"/>
    <w:rsid w:val="00B7198C"/>
    <w:rsid w:val="00B7229B"/>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0F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074C"/>
    <w:rsid w:val="00C81568"/>
    <w:rsid w:val="00C855E0"/>
    <w:rsid w:val="00C9027A"/>
    <w:rsid w:val="00C9068E"/>
    <w:rsid w:val="00C93C4B"/>
    <w:rsid w:val="00C93FF8"/>
    <w:rsid w:val="00C9419E"/>
    <w:rsid w:val="00C944AB"/>
    <w:rsid w:val="00C95B40"/>
    <w:rsid w:val="00CA1ED8"/>
    <w:rsid w:val="00CA56AC"/>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00F1"/>
    <w:rsid w:val="00D9196D"/>
    <w:rsid w:val="00D92982"/>
    <w:rsid w:val="00DA305E"/>
    <w:rsid w:val="00DA456B"/>
    <w:rsid w:val="00DA5417"/>
    <w:rsid w:val="00DA56E8"/>
    <w:rsid w:val="00DB0A9F"/>
    <w:rsid w:val="00DB138E"/>
    <w:rsid w:val="00DB377D"/>
    <w:rsid w:val="00DC2D36"/>
    <w:rsid w:val="00DC4F04"/>
    <w:rsid w:val="00DC53EF"/>
    <w:rsid w:val="00DC72DB"/>
    <w:rsid w:val="00DE0C96"/>
    <w:rsid w:val="00DE1BBA"/>
    <w:rsid w:val="00DE5608"/>
    <w:rsid w:val="00DE58D0"/>
    <w:rsid w:val="00DE654F"/>
    <w:rsid w:val="00DF0B6E"/>
    <w:rsid w:val="00DF15E0"/>
    <w:rsid w:val="00DF37A0"/>
    <w:rsid w:val="00DF48C6"/>
    <w:rsid w:val="00DF4FC5"/>
    <w:rsid w:val="00DF5F48"/>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962D8"/>
    <w:rsid w:val="00EA60F2"/>
    <w:rsid w:val="00EA7A41"/>
    <w:rsid w:val="00EB077B"/>
    <w:rsid w:val="00EB4EA2"/>
    <w:rsid w:val="00EC27C6"/>
    <w:rsid w:val="00EC4207"/>
    <w:rsid w:val="00EC5653"/>
    <w:rsid w:val="00EC71CE"/>
    <w:rsid w:val="00ED1006"/>
    <w:rsid w:val="00EE784D"/>
    <w:rsid w:val="00EF18FE"/>
    <w:rsid w:val="00EF1EC5"/>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 w:type="table" w:styleId="TableGrid">
    <w:name w:val="Table Grid"/>
    <w:basedOn w:val="TableNormal"/>
    <w:rsid w:val="00125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01">
    <w:name w:val="font201"/>
    <w:basedOn w:val="DefaultParagraphFont"/>
    <w:rsid w:val="00B4283E"/>
    <w:rPr>
      <w:rFonts w:ascii="Arial" w:hAnsi="Arial" w:cs="Arial" w:hint="default"/>
      <w:b w:val="0"/>
      <w:bCs w:val="0"/>
      <w:i w:val="0"/>
      <w:iCs w:val="0"/>
      <w:strike w:val="0"/>
      <w:dstrike w:val="0"/>
      <w:color w:val="FF0000"/>
      <w:sz w:val="16"/>
      <w:szCs w:val="16"/>
      <w:u w:val="none"/>
      <w:effect w:val="none"/>
    </w:rPr>
  </w:style>
  <w:style w:type="paragraph" w:styleId="NormalWeb">
    <w:name w:val="Normal (Web)"/>
    <w:basedOn w:val="Normal"/>
    <w:uiPriority w:val="99"/>
    <w:unhideWhenUsed/>
    <w:rsid w:val="0067345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197354103">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662664582">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706419003">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13253683">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677029735">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6235845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3B4C9114-9605-4942-9925-0A081285B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60</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6563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Stephen Grant</cp:lastModifiedBy>
  <cp:revision>5</cp:revision>
  <cp:lastPrinted>2008-01-31T16:09:00Z</cp:lastPrinted>
  <dcterms:created xsi:type="dcterms:W3CDTF">2017-10-03T03:58:00Z</dcterms:created>
  <dcterms:modified xsi:type="dcterms:W3CDTF">2017-10-03T05:02:00Z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